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6" w:rsidRPr="00385D96" w:rsidRDefault="00385D96" w:rsidP="00385D96">
      <w:pPr>
        <w:pStyle w:val="Header"/>
        <w:jc w:val="center"/>
        <w:rPr>
          <w:sz w:val="28"/>
          <w:szCs w:val="28"/>
          <w:lang w:val="ro-RO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-37465</wp:posOffset>
            </wp:positionV>
            <wp:extent cx="1349375" cy="586740"/>
            <wp:effectExtent l="19050" t="0" r="3175" b="0"/>
            <wp:wrapThrough wrapText="bothSides">
              <wp:wrapPolygon edited="0">
                <wp:start x="-305" y="0"/>
                <wp:lineTo x="-305" y="21039"/>
                <wp:lineTo x="21651" y="21039"/>
                <wp:lineTo x="21651" y="0"/>
                <wp:lineTo x="-305" y="0"/>
              </wp:wrapPolygon>
            </wp:wrapThrough>
            <wp:docPr id="13" name="Imagine 452" descr="C:\Users\Sorin\AppData\Local\Microsoft\Windows\INetCache\Content.Word\SIGLA GAL RE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2" descr="C:\Users\Sorin\AppData\Local\Microsoft\Windows\INetCache\Content.Word\SIGLA GAL REV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-37465</wp:posOffset>
            </wp:positionV>
            <wp:extent cx="817880" cy="548640"/>
            <wp:effectExtent l="19050" t="0" r="1270" b="0"/>
            <wp:wrapTopAndBottom/>
            <wp:docPr id="12" name="I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567055" cy="444500"/>
            <wp:effectExtent l="19050" t="0" r="4445" b="0"/>
            <wp:wrapTopAndBottom/>
            <wp:docPr id="10" name="I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-26670</wp:posOffset>
            </wp:positionV>
            <wp:extent cx="1777365" cy="586740"/>
            <wp:effectExtent l="0" t="0" r="0" b="0"/>
            <wp:wrapTopAndBottom/>
            <wp:docPr id="9" name="Imagin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-26670</wp:posOffset>
            </wp:positionV>
            <wp:extent cx="685800" cy="586740"/>
            <wp:effectExtent l="19050" t="0" r="0" b="0"/>
            <wp:wrapThrough wrapText="bothSides">
              <wp:wrapPolygon edited="0">
                <wp:start x="-600" y="0"/>
                <wp:lineTo x="-600" y="21039"/>
                <wp:lineTo x="21600" y="21039"/>
                <wp:lineTo x="21600" y="0"/>
                <wp:lineTo x="-600" y="0"/>
              </wp:wrapPolygon>
            </wp:wrapThrough>
            <wp:docPr id="11" name="I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D96" w:rsidRDefault="00385D96" w:rsidP="00385D96">
      <w:pPr>
        <w:spacing w:after="0" w:line="240" w:lineRule="auto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Anexa 6</w:t>
      </w:r>
    </w:p>
    <w:p w:rsidR="00385D96" w:rsidRPr="004902C1" w:rsidRDefault="00385D96" w:rsidP="00385D96">
      <w:pPr>
        <w:spacing w:after="0" w:line="240" w:lineRule="auto"/>
        <w:jc w:val="right"/>
        <w:rPr>
          <w:b/>
          <w:sz w:val="12"/>
          <w:szCs w:val="12"/>
          <w:lang w:val="ro-RO"/>
        </w:rPr>
      </w:pPr>
    </w:p>
    <w:p w:rsidR="00385D96" w:rsidRPr="00985EFD" w:rsidRDefault="00385D96" w:rsidP="00385D96">
      <w:pPr>
        <w:spacing w:after="0" w:line="240" w:lineRule="auto"/>
        <w:jc w:val="both"/>
        <w:rPr>
          <w:sz w:val="8"/>
          <w:szCs w:val="8"/>
          <w:lang w:val="ro-RO"/>
        </w:rPr>
      </w:pPr>
    </w:p>
    <w:p w:rsidR="00385D96" w:rsidRPr="00985EFD" w:rsidRDefault="00385D96" w:rsidP="00385D96">
      <w:pPr>
        <w:shd w:val="clear" w:color="auto" w:fill="385623"/>
        <w:jc w:val="both"/>
        <w:rPr>
          <w:color w:val="FFFFFF"/>
          <w:sz w:val="28"/>
          <w:lang w:val="ro-RO"/>
        </w:rPr>
      </w:pPr>
      <w:r w:rsidRPr="00985EFD">
        <w:rPr>
          <w:rFonts w:eastAsia="Times New Roman" w:cs="Times New Roman"/>
          <w:b/>
          <w:bCs/>
          <w:color w:val="FFFFFF"/>
          <w:sz w:val="30"/>
          <w:szCs w:val="24"/>
          <w:lang w:val="ro-RO" w:eastAsia="ro-RO" w:bidi="ar-SA"/>
        </w:rPr>
        <w:t>DECLARAȚIE PRIVIND PRELUCRAREA DATELOR CU CARACTER PERSONAL</w:t>
      </w:r>
    </w:p>
    <w:p w:rsidR="00385D96" w:rsidRPr="004902C1" w:rsidRDefault="00385D96" w:rsidP="00385D96">
      <w:pPr>
        <w:spacing w:after="0"/>
        <w:jc w:val="both"/>
        <w:rPr>
          <w:sz w:val="12"/>
          <w:szCs w:val="12"/>
          <w:lang w:val="ro-RO"/>
        </w:rPr>
      </w:pP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Asociația Grupul de Acțiune Locală Făgărașul de Sud - Ținutul Posadelor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(GAL FS-TP)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cu </w:t>
      </w: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sediul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î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n Bulevardul Alexandru Ioan Cuza,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nr 4,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Comuna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Domnești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,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jude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țul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Arge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,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Cod poștal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117370, </w:t>
      </w: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telefon</w:t>
      </w:r>
      <w:r>
        <w:rPr>
          <w:rFonts w:eastAsia="Times New Roman" w:cs="Times New Roman"/>
          <w:b/>
          <w:color w:val="000000"/>
          <w:szCs w:val="22"/>
          <w:lang w:val="ro-RO" w:eastAsia="ro-RO" w:bidi="ar-SA"/>
        </w:rPr>
        <w:t>: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(+40)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0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348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520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389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,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e-mail</w:t>
      </w:r>
      <w:r>
        <w:rPr>
          <w:rFonts w:eastAsia="Times New Roman" w:cs="Times New Roman"/>
          <w:b/>
          <w:color w:val="000000"/>
          <w:szCs w:val="22"/>
          <w:lang w:val="ro-RO" w:eastAsia="ro-RO" w:bidi="ar-SA"/>
        </w:rPr>
        <w:t>: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hyperlink r:id="rId9" w:history="1">
        <w:r w:rsidRPr="001F5857">
          <w:rPr>
            <w:rStyle w:val="Hyperlink"/>
            <w:rFonts w:eastAsia="Times New Roman" w:cs="Times New Roman"/>
            <w:szCs w:val="22"/>
            <w:lang w:val="ro-RO" w:eastAsia="ro-RO" w:bidi="ar-SA"/>
          </w:rPr>
          <w:t>tinutulposadelor@gmail.com</w:t>
        </w:r>
      </w:hyperlink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,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colectează și prelucrează date cu caracter personal în conformitate cu prevederile Regulamentului UE nr. 679/2016 privind protecția persoanelor fizice în ceea ce privește prelucrarea datelor cu caracter personal și libera circulație a acestor date.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Prin acest document, 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AL FS-TP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informează persoanele vizate ale căror date sunt colectate cu privire la modul în care sunt utilizate aceste date și despre drepturile care li se cuvin.</w:t>
      </w:r>
    </w:p>
    <w:p w:rsidR="00385D96" w:rsidRPr="001F5857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1F5857">
        <w:rPr>
          <w:rFonts w:eastAsia="Times New Roman" w:cs="Times New Roman"/>
          <w:b/>
          <w:color w:val="000000"/>
          <w:szCs w:val="22"/>
          <w:lang w:val="ro-RO" w:eastAsia="ro-RO" w:bidi="ar-SA"/>
        </w:rPr>
        <w:t>a) Date de contact</w:t>
      </w:r>
      <w:r>
        <w:rPr>
          <w:rFonts w:eastAsia="Times New Roman" w:cs="Times New Roman"/>
          <w:b/>
          <w:color w:val="000000"/>
          <w:szCs w:val="22"/>
          <w:lang w:val="ro-RO" w:eastAsia="ro-RO" w:bidi="ar-SA"/>
        </w:rPr>
        <w:t>: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Grupul de Ac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iune Local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F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ul de Sud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inutul Posadelor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(GAL FS-TP)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Adresa: Bulevardul Alexandru Ioan Cuza,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nr 4,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Comuna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Domnești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,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jude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țul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Arge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,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Cod poștal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117370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Tel: (+40)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0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348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520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389</w:t>
      </w:r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>
        <w:rPr>
          <w:rFonts w:eastAsia="Times New Roman" w:cs="Times New Roman"/>
          <w:color w:val="000000"/>
          <w:szCs w:val="22"/>
          <w:lang w:val="ro-RO" w:eastAsia="ro-RO" w:bidi="ar-SA"/>
        </w:rPr>
        <w:t>E-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mail: </w:t>
      </w:r>
      <w:hyperlink r:id="rId10" w:history="1">
        <w:r w:rsidRPr="00AD13F0">
          <w:rPr>
            <w:rStyle w:val="Hyperlink"/>
            <w:rFonts w:eastAsia="Times New Roman" w:cs="Times New Roman"/>
            <w:szCs w:val="22"/>
            <w:lang w:val="ro-RO" w:eastAsia="ro-RO" w:bidi="ar-SA"/>
          </w:rPr>
          <w:t>tinutulposadelor@gmail.com</w:t>
        </w:r>
      </w:hyperlink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 xml:space="preserve">Web site: </w:t>
      </w:r>
      <w:hyperlink r:id="rId11" w:history="1">
        <w:r w:rsidRPr="00AD13F0">
          <w:rPr>
            <w:rStyle w:val="Hyperlink"/>
            <w:rFonts w:eastAsia="Times New Roman" w:cs="Times New Roman"/>
            <w:szCs w:val="22"/>
            <w:lang w:val="ro-RO" w:eastAsia="ro-RO" w:bidi="ar-SA"/>
          </w:rPr>
          <w:t>www.gal-tinutulposadelor.ro</w:t>
        </w:r>
      </w:hyperlink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b/>
          <w:color w:val="000000"/>
          <w:szCs w:val="22"/>
          <w:lang w:val="ro-RO" w:eastAsia="ro-RO" w:bidi="ar-SA"/>
        </w:rPr>
        <w:t>b) Date de contact ale responsabilului cu protecția datelor:</w:t>
      </w:r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 xml:space="preserve">E-mail: </w:t>
      </w:r>
      <w:hyperlink r:id="rId12" w:history="1">
        <w:r w:rsidRPr="00AD13F0">
          <w:rPr>
            <w:rStyle w:val="Hyperlink"/>
            <w:rFonts w:eastAsia="Times New Roman" w:cs="Times New Roman"/>
            <w:szCs w:val="22"/>
            <w:lang w:val="ro-RO" w:eastAsia="ro-RO" w:bidi="ar-SA"/>
          </w:rPr>
          <w:t>office@gal-tinutulposadelor.ro</w:t>
        </w:r>
      </w:hyperlink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Adresa: Bulevardul Alexandru Ioan Cuza,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nr 4,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Comuna 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Domnești, jude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țul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Arge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 xml:space="preserve">,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Cod poștal 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117370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Număr de telefon: (+40) 348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520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</w:t>
      </w:r>
      <w:r w:rsidRPr="00AD13F0">
        <w:rPr>
          <w:rFonts w:eastAsia="Times New Roman" w:cs="Times New Roman"/>
          <w:color w:val="000000"/>
          <w:szCs w:val="22"/>
          <w:lang w:val="ro-RO" w:eastAsia="ro-RO" w:bidi="ar-SA"/>
        </w:rPr>
        <w:t>389</w:t>
      </w:r>
    </w:p>
    <w:p w:rsidR="00385D96" w:rsidRPr="00AD13F0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AD13F0">
        <w:rPr>
          <w:rFonts w:eastAsia="Times New Roman" w:cs="Times New Roman"/>
          <w:b/>
          <w:color w:val="000000"/>
          <w:szCs w:val="22"/>
          <w:lang w:val="ro-RO" w:eastAsia="ro-RO" w:bidi="ar-SA"/>
        </w:rPr>
        <w:t xml:space="preserve">c) Scopurile prelucrării datelor cu caracter personal 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Grupul de Ac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iune Local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F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ul de Sud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inutul Posadelor colectează date cu caracter personal, pe care le poate prelucra în scopuri precum implementarea tehnică, implementarea financiară (plata), monitorizare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a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pentru PNDR, raportare privind implementarea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S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trategiei de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D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ezvoltare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L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. Astfel, prelucrarea datelor personale se realizează fără a fi limitativ, pentru următoarele: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primirea cererilor de finanțare;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verificarea cererilor de finanțare;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selectarea proiectelor finanțate;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stabilirea obligațiilor contractuale;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efectuarea vizitelor pe teren;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verificarea procedurilor de atribuire efectuate de beneficiari;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raportarea progresului măsurilor;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autorizarea plății către beneficiari;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efectuarea plății către beneficiari;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înregistrarea angajamentelor de plată și a plăților;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managementul informatic al plăților realizate către beneficiarii proiectelor;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informare și promovare a PNDR.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Temeiul prelucrării este constituit din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C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ererea de finanțare,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C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ontractul de finanțare, și prevederile legale aplicabile. Astfel, pentru a facilita desfășurarea activităților aflate în legătură cu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C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ererea de finanțare,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lastRenderedPageBreak/>
        <w:t>C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ontractul de finanțare, și în vederea îndeplinirii obligațiilor legale, comunicăm aceste date către autorități publice, terți sau împuterniciți.</w:t>
      </w:r>
    </w:p>
    <w:p w:rsidR="00385D96" w:rsidRPr="000E4B4F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0E4B4F">
        <w:rPr>
          <w:rFonts w:eastAsia="Times New Roman" w:cs="Times New Roman"/>
          <w:b/>
          <w:color w:val="000000"/>
          <w:szCs w:val="22"/>
          <w:lang w:val="ro-RO" w:eastAsia="ro-RO" w:bidi="ar-SA"/>
        </w:rPr>
        <w:t>d) Destinatari ai datelor cu caracter personal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În fluxul de procesare și stocare, datele cu caracter personal ar putea fi transferate, după caz, următoarelor categorii de destinatari: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Furnizori, prestatori, terți sau împuterniciți implicați în mod direct sau indirect în procesele aferente scopurilor mai sus menționate (furnizori de servicii IT, furnizori de servicii de consultanță etc.)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Operatori, titulari de drepturi, autorități publice abilitate de lege sau cu care 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Grupul de Ac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iune Local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F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ul de Sud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inutul Posadelor a încheiat contracte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i/sau protocoale de colaborare în scopul îndeplinirii atribuțiilor specifice conferite de legislația europeană și națională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;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Comisia Europeană, în scopul monitorizării și controlului privind Programul PNDR.</w:t>
      </w:r>
    </w:p>
    <w:p w:rsidR="00385D96" w:rsidRPr="000E4B4F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0E4B4F">
        <w:rPr>
          <w:rFonts w:eastAsia="Times New Roman" w:cs="Times New Roman"/>
          <w:b/>
          <w:color w:val="000000"/>
          <w:szCs w:val="22"/>
          <w:lang w:val="ro-RO" w:eastAsia="ro-RO" w:bidi="ar-SA"/>
        </w:rPr>
        <w:t>e) Transferul datelor în afara țării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Datele dumneavoastră ar putea fi transferate în exteriorul țării către Comisia Europeană, conform legislației europene aplicabile.</w:t>
      </w:r>
    </w:p>
    <w:p w:rsidR="00385D96" w:rsidRPr="000E4B4F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0E4B4F">
        <w:rPr>
          <w:rFonts w:eastAsia="Times New Roman" w:cs="Times New Roman"/>
          <w:b/>
          <w:color w:val="000000"/>
          <w:szCs w:val="22"/>
          <w:lang w:val="ro-RO" w:eastAsia="ro-RO" w:bidi="ar-SA"/>
        </w:rPr>
        <w:t>f) Perioada stocării datelor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385D96" w:rsidRPr="000E4B4F" w:rsidRDefault="00385D96" w:rsidP="00385D96">
      <w:pPr>
        <w:spacing w:after="0" w:line="276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0E4B4F">
        <w:rPr>
          <w:rFonts w:eastAsia="Times New Roman" w:cs="Times New Roman"/>
          <w:b/>
          <w:color w:val="000000"/>
          <w:szCs w:val="22"/>
          <w:lang w:val="ro-RO" w:eastAsia="ro-RO" w:bidi="ar-SA"/>
        </w:rPr>
        <w:t>g) Drepturile persoanei vizate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Persoanele vizate ale căror date cu caracter personal sunt colectate de către 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Grupul de Ac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iune Local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F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ul de Sud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inutul Posadelor au următoarele drepturi, conform legislației în domeniu: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• dreptul de acces; 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rectificarea datelor;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ștergerea datelor („dreptul de a fi uitat");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restricționarea prelucrării;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portabilitatea datelor;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opoziție;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drepturi cu privire la procesul decizional individual automatizat, inclusiv crearea de profiluri;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retragerea consimțământului în cazul prelucrării în scop de informare sau promovare;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de a depune o plângere în fața unei autorități de supraveghere a prelucrării datelor cu caracter personal;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la o cale de atac judiciară;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• dreptul de a fi notificat de către operator.</w:t>
      </w:r>
    </w:p>
    <w:p w:rsidR="00385D96" w:rsidRDefault="00385D96" w:rsidP="00385D96">
      <w:pPr>
        <w:spacing w:after="0" w:line="276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Prin prezenta, declar că am fost informat de către Asocia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ia Grupul de Ac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iune Local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F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g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ș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ul de Sud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-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Ț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inutul Posadelor cu privire la prelucrarea datelor cu caracter personal.</w:t>
      </w:r>
    </w:p>
    <w:p w:rsidR="00385D96" w:rsidRDefault="00385D96" w:rsidP="00385D96">
      <w:pPr>
        <w:spacing w:after="0" w:line="360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br/>
      </w:r>
      <w:r>
        <w:rPr>
          <w:rFonts w:eastAsia="Times New Roman" w:cs="Times New Roman"/>
          <w:b/>
          <w:color w:val="000000"/>
          <w:szCs w:val="22"/>
          <w:lang w:val="ro-RO" w:eastAsia="ro-RO" w:bidi="ar-SA"/>
        </w:rPr>
        <w:t>SOLICITANT: .......................................................................................</w:t>
      </w:r>
    </w:p>
    <w:p w:rsidR="00385D96" w:rsidRPr="004902C1" w:rsidRDefault="00385D96" w:rsidP="00385D96">
      <w:pPr>
        <w:spacing w:after="0" w:line="360" w:lineRule="auto"/>
        <w:jc w:val="both"/>
        <w:rPr>
          <w:rFonts w:eastAsia="Times New Roman" w:cs="Times New Roman"/>
          <w:b/>
          <w:color w:val="000000"/>
          <w:szCs w:val="22"/>
          <w:lang w:val="ro-RO" w:eastAsia="ro-RO" w:bidi="ar-SA"/>
        </w:rPr>
      </w:pPr>
      <w:r w:rsidRPr="004902C1">
        <w:rPr>
          <w:rFonts w:eastAsia="Times New Roman" w:cs="Times New Roman"/>
          <w:b/>
          <w:color w:val="000000"/>
          <w:szCs w:val="22"/>
          <w:lang w:val="ro-RO" w:eastAsia="ro-RO" w:bidi="ar-SA"/>
        </w:rPr>
        <w:t>Reprezentant Legal</w:t>
      </w:r>
    </w:p>
    <w:p w:rsidR="00385D96" w:rsidRDefault="00385D96" w:rsidP="00385D96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Nume/prenume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.......................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.................................................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................</w:t>
      </w:r>
    </w:p>
    <w:p w:rsidR="00385D96" w:rsidRDefault="00385D96" w:rsidP="00385D96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Semn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ă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tura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 xml:space="preserve"> 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……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..................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……………..</w:t>
      </w:r>
    </w:p>
    <w:p w:rsidR="00385D96" w:rsidRPr="00385D96" w:rsidRDefault="00385D96" w:rsidP="00385D96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lang w:val="ro-RO" w:eastAsia="ro-RO" w:bidi="ar-SA"/>
        </w:rPr>
      </w:pP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Data ................................</w:t>
      </w:r>
      <w:r>
        <w:rPr>
          <w:rFonts w:eastAsia="Times New Roman" w:cs="Times New Roman"/>
          <w:color w:val="000000"/>
          <w:szCs w:val="22"/>
          <w:lang w:val="ro-RO" w:eastAsia="ro-RO" w:bidi="ar-SA"/>
        </w:rPr>
        <w:t>..........</w:t>
      </w:r>
      <w:r w:rsidRPr="00985EFD">
        <w:rPr>
          <w:rFonts w:eastAsia="Times New Roman" w:cs="Times New Roman"/>
          <w:color w:val="000000"/>
          <w:szCs w:val="22"/>
          <w:lang w:val="ro-RO" w:eastAsia="ro-RO" w:bidi="ar-SA"/>
        </w:rPr>
        <w:t>.......</w:t>
      </w:r>
    </w:p>
    <w:sectPr w:rsidR="00385D96" w:rsidRPr="00385D96" w:rsidSect="00385D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D96"/>
    <w:rsid w:val="00385D96"/>
    <w:rsid w:val="008A4106"/>
    <w:rsid w:val="00F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96"/>
    <w:pPr>
      <w:spacing w:after="160" w:line="259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D96"/>
    <w:rPr>
      <w:color w:val="0000FF"/>
      <w:u w:val="single"/>
    </w:rPr>
  </w:style>
  <w:style w:type="paragraph" w:styleId="Header">
    <w:name w:val="header"/>
    <w:aliases w:val="Glava - napis, Char1,Char1,Char1 Char1 Char,Char1 Char1"/>
    <w:basedOn w:val="Normal"/>
    <w:link w:val="HeaderChar"/>
    <w:unhideWhenUsed/>
    <w:rsid w:val="00385D9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erChar">
    <w:name w:val="Header Char"/>
    <w:aliases w:val="Glava - napis Char, Char1 Char,Char1 Char,Char1 Char1 Char Char,Char1 Char1 Char1"/>
    <w:basedOn w:val="DefaultParagraphFont"/>
    <w:link w:val="Header"/>
    <w:rsid w:val="00385D96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office@gal-tinutulposadelo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gal-tinutulposadelor.ro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inutulposadelor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inutulposadelo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2021-04-27T10:34:00Z</dcterms:created>
  <dcterms:modified xsi:type="dcterms:W3CDTF">2021-04-27T10:36:00Z</dcterms:modified>
</cp:coreProperties>
</file>