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21" w:rsidRDefault="00384D21" w:rsidP="00384D21">
      <w:pPr>
        <w:spacing w:after="0"/>
        <w:jc w:val="right"/>
        <w:rPr>
          <w:sz w:val="8"/>
          <w:szCs w:val="8"/>
        </w:rPr>
      </w:pPr>
    </w:p>
    <w:p w:rsidR="00384D21" w:rsidRPr="00384D21" w:rsidRDefault="00384D21" w:rsidP="00384D21">
      <w:pPr>
        <w:spacing w:after="0"/>
        <w:jc w:val="right"/>
        <w:rPr>
          <w:b/>
          <w:sz w:val="16"/>
          <w:szCs w:val="16"/>
        </w:rPr>
      </w:pPr>
    </w:p>
    <w:p w:rsidR="004F2B32" w:rsidRPr="00384D21" w:rsidRDefault="00384D21" w:rsidP="00384D21">
      <w:pPr>
        <w:jc w:val="right"/>
        <w:rPr>
          <w:b/>
          <w:sz w:val="24"/>
          <w:szCs w:val="24"/>
        </w:rPr>
      </w:pPr>
      <w:r>
        <w:rPr>
          <w:b/>
          <w:sz w:val="24"/>
          <w:szCs w:val="24"/>
        </w:rPr>
        <w:t>Anexă la Cererea de finanțare – Anexa 1 – pentru mă</w:t>
      </w:r>
      <w:r w:rsidR="00E3439C">
        <w:rPr>
          <w:b/>
          <w:sz w:val="24"/>
          <w:szCs w:val="24"/>
        </w:rPr>
        <w:t>sura M11/2B/2B – Sesiunea 1/202</w:t>
      </w:r>
      <w:r w:rsidR="00306E7A">
        <w:rPr>
          <w:b/>
          <w:sz w:val="24"/>
          <w:szCs w:val="24"/>
        </w:rPr>
        <w:t>4</w:t>
      </w:r>
    </w:p>
    <w:p w:rsidR="00384D21" w:rsidRPr="00384D21" w:rsidRDefault="00384D21" w:rsidP="00384D21">
      <w:pPr>
        <w:spacing w:after="0" w:line="240" w:lineRule="auto"/>
        <w:contextualSpacing/>
        <w:rPr>
          <w:b/>
          <w:sz w:val="16"/>
          <w:szCs w:val="16"/>
        </w:rPr>
      </w:pPr>
    </w:p>
    <w:p w:rsidR="004F2B32" w:rsidRPr="00384D21" w:rsidRDefault="004F2B32" w:rsidP="00384D21">
      <w:pPr>
        <w:spacing w:after="0"/>
        <w:contextualSpacing/>
        <w:rPr>
          <w:b/>
          <w:sz w:val="24"/>
        </w:rPr>
      </w:pPr>
      <w:r w:rsidRPr="00384D21">
        <w:rPr>
          <w:b/>
          <w:sz w:val="24"/>
        </w:rPr>
        <w:t>ANEXA 1</w:t>
      </w:r>
      <w:r w:rsidR="00384D21" w:rsidRPr="00384D21">
        <w:rPr>
          <w:b/>
          <w:sz w:val="24"/>
        </w:rPr>
        <w:t>.1</w:t>
      </w:r>
    </w:p>
    <w:p w:rsidR="00384D21" w:rsidRPr="00384D21" w:rsidRDefault="00384D21" w:rsidP="00384D21">
      <w:pPr>
        <w:spacing w:after="0"/>
        <w:contextualSpacing/>
        <w:rPr>
          <w:rFonts w:asciiTheme="minorHAnsi" w:hAnsiTheme="minorHAnsi" w:cstheme="minorHAnsi"/>
          <w:b/>
          <w:sz w:val="24"/>
          <w:szCs w:val="24"/>
        </w:rPr>
      </w:pPr>
      <w:r w:rsidRPr="00384D21">
        <w:rPr>
          <w:rFonts w:asciiTheme="minorHAnsi" w:hAnsiTheme="minorHAnsi" w:cstheme="minorHAnsi"/>
          <w:b/>
          <w:sz w:val="24"/>
          <w:szCs w:val="24"/>
        </w:rPr>
        <w:t>BUGET INDICATIV ȘI FUNDAMENTAREA BUGETULUI PE CATEGORII DE CHELTUIELI ELIGIBILE, CORELATE CU ACTIVITĂȚILE ȘI REZULTATELE PROIECTULUI</w:t>
      </w:r>
    </w:p>
    <w:p w:rsidR="004F2B32" w:rsidRPr="00384D21" w:rsidRDefault="004F2B32" w:rsidP="004F2B32">
      <w:pPr>
        <w:spacing w:after="0"/>
        <w:contextualSpacing/>
        <w:jc w:val="both"/>
        <w:rPr>
          <w:sz w:val="8"/>
          <w:szCs w:val="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0"/>
        <w:gridCol w:w="1530"/>
        <w:gridCol w:w="1350"/>
        <w:gridCol w:w="990"/>
      </w:tblGrid>
      <w:tr w:rsidR="004F2B32" w:rsidRPr="00412201" w:rsidTr="00384D21">
        <w:trPr>
          <w:trHeight w:val="929"/>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b/>
                <w:sz w:val="24"/>
              </w:rPr>
            </w:pPr>
            <w:r w:rsidRPr="002D2CD1">
              <w:rPr>
                <w:b/>
                <w:sz w:val="24"/>
              </w:rPr>
              <w:t>Denumirea capitolelor de cheltuieli</w:t>
            </w:r>
          </w:p>
        </w:tc>
        <w:tc>
          <w:tcPr>
            <w:tcW w:w="153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384D21">
            <w:pPr>
              <w:spacing w:after="0"/>
              <w:contextualSpacing/>
              <w:jc w:val="center"/>
              <w:rPr>
                <w:b/>
                <w:sz w:val="24"/>
              </w:rPr>
            </w:pPr>
            <w:r w:rsidRPr="002D2CD1">
              <w:rPr>
                <w:b/>
                <w:sz w:val="24"/>
              </w:rPr>
              <w:t>Cheltuieli</w:t>
            </w:r>
          </w:p>
          <w:p w:rsidR="004F2B32" w:rsidRPr="002D2CD1" w:rsidRDefault="004F2B32" w:rsidP="00384D21">
            <w:pPr>
              <w:spacing w:after="0"/>
              <w:contextualSpacing/>
              <w:jc w:val="center"/>
              <w:rPr>
                <w:b/>
                <w:sz w:val="24"/>
              </w:rPr>
            </w:pPr>
            <w:r w:rsidRPr="002D2CD1">
              <w:rPr>
                <w:b/>
                <w:sz w:val="24"/>
              </w:rPr>
              <w:t>eligibile</w:t>
            </w:r>
          </w:p>
          <w:p w:rsidR="004F2B32" w:rsidRPr="002D2CD1" w:rsidRDefault="004F2B32" w:rsidP="00384D21">
            <w:pPr>
              <w:spacing w:after="0"/>
              <w:contextualSpacing/>
              <w:jc w:val="center"/>
              <w:rPr>
                <w:b/>
                <w:sz w:val="24"/>
              </w:rPr>
            </w:pPr>
            <w:r w:rsidRPr="002D2CD1">
              <w:rPr>
                <w:b/>
                <w:sz w:val="24"/>
              </w:rPr>
              <w:t>(Euro)</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384D21">
            <w:pPr>
              <w:spacing w:after="0"/>
              <w:contextualSpacing/>
              <w:jc w:val="center"/>
              <w:rPr>
                <w:b/>
                <w:sz w:val="24"/>
              </w:rPr>
            </w:pPr>
            <w:r w:rsidRPr="002D2CD1">
              <w:rPr>
                <w:b/>
                <w:sz w:val="24"/>
              </w:rPr>
              <w:t>Cheltuieli neeligibile</w:t>
            </w:r>
          </w:p>
          <w:p w:rsidR="004F2B32" w:rsidRPr="002D2CD1" w:rsidRDefault="004F2B32" w:rsidP="00384D21">
            <w:pPr>
              <w:spacing w:after="0"/>
              <w:contextualSpacing/>
              <w:jc w:val="center"/>
              <w:rPr>
                <w:b/>
                <w:sz w:val="24"/>
              </w:rPr>
            </w:pPr>
            <w:r w:rsidRPr="002D2CD1">
              <w:rPr>
                <w:b/>
                <w:sz w:val="24"/>
              </w:rPr>
              <w:t>(Euro)</w:t>
            </w:r>
          </w:p>
        </w:tc>
        <w:tc>
          <w:tcPr>
            <w:tcW w:w="99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384D21">
            <w:pPr>
              <w:spacing w:after="0"/>
              <w:contextualSpacing/>
              <w:jc w:val="center"/>
              <w:rPr>
                <w:b/>
                <w:sz w:val="24"/>
              </w:rPr>
            </w:pPr>
            <w:r w:rsidRPr="002D2CD1">
              <w:rPr>
                <w:b/>
                <w:sz w:val="24"/>
              </w:rPr>
              <w:t>Total</w:t>
            </w:r>
          </w:p>
          <w:p w:rsidR="004F2B32" w:rsidRPr="002D2CD1" w:rsidRDefault="004F2B32" w:rsidP="00384D21">
            <w:pPr>
              <w:spacing w:after="0"/>
              <w:contextualSpacing/>
              <w:jc w:val="center"/>
              <w:rPr>
                <w:b/>
                <w:sz w:val="24"/>
              </w:rPr>
            </w:pPr>
            <w:r w:rsidRPr="002D2CD1">
              <w:rPr>
                <w:b/>
                <w:sz w:val="24"/>
              </w:rPr>
              <w:t>(Euro)</w:t>
            </w:r>
          </w:p>
        </w:tc>
      </w:tr>
      <w:tr w:rsidR="004F2B32" w:rsidRPr="00412201" w:rsidTr="00384D21">
        <w:trPr>
          <w:trHeight w:val="430"/>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 xml:space="preserve">CAP. I CHELTUIELI CU PERSONALUL </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22"/>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CAP. II CHELTUIELI PENTRU DERULAREA PROIECTULUI</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TOTAL Valoare eligibilă proiect (fără TVA)</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Valoare TVA</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TOTAL valoare proiect, inclusiv TVA</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9720" w:type="dxa"/>
            <w:gridSpan w:val="4"/>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b/>
                <w:sz w:val="24"/>
              </w:rPr>
            </w:pPr>
            <w:r w:rsidRPr="002D2CD1">
              <w:rPr>
                <w:b/>
                <w:sz w:val="24"/>
              </w:rPr>
              <w:t>PLANUL FINANCIAR</w:t>
            </w: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384D21" w:rsidRDefault="004F2B32" w:rsidP="0044723A">
            <w:pPr>
              <w:spacing w:after="0"/>
              <w:contextualSpacing/>
              <w:jc w:val="both"/>
              <w:rPr>
                <w:sz w:val="24"/>
              </w:rPr>
            </w:pPr>
            <w:r w:rsidRPr="002D2CD1">
              <w:rPr>
                <w:sz w:val="24"/>
              </w:rPr>
              <w:t xml:space="preserve">Ajutor public nerambursabil </w:t>
            </w:r>
          </w:p>
          <w:p w:rsidR="004F2B32" w:rsidRPr="002D2CD1" w:rsidRDefault="004F2B32" w:rsidP="0044723A">
            <w:pPr>
              <w:spacing w:after="0"/>
              <w:contextualSpacing/>
              <w:jc w:val="both"/>
              <w:rPr>
                <w:sz w:val="24"/>
              </w:rPr>
            </w:pPr>
            <w:r w:rsidRPr="002D2CD1">
              <w:rPr>
                <w:sz w:val="24"/>
              </w:rPr>
              <w:t>(contribuție UE și cofinanțare națională)</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Cofinanțare privată din care:</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w:t>
            </w:r>
            <w:r w:rsidR="00384D21">
              <w:rPr>
                <w:sz w:val="24"/>
              </w:rPr>
              <w:t xml:space="preserve"> </w:t>
            </w:r>
            <w:r w:rsidRPr="002D2CD1">
              <w:rPr>
                <w:sz w:val="24"/>
              </w:rPr>
              <w:t>autofinanțare</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w:t>
            </w:r>
            <w:r w:rsidR="00384D21">
              <w:rPr>
                <w:sz w:val="24"/>
              </w:rPr>
              <w:t xml:space="preserve"> </w:t>
            </w:r>
            <w:r w:rsidRPr="002D2CD1">
              <w:rPr>
                <w:sz w:val="24"/>
              </w:rPr>
              <w:t>împrumuturi</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Total proiect</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r w:rsidR="004F2B32" w:rsidRPr="00412201" w:rsidTr="00384D21">
        <w:trPr>
          <w:trHeight w:val="414"/>
        </w:trPr>
        <w:tc>
          <w:tcPr>
            <w:tcW w:w="5850" w:type="dxa"/>
            <w:tcBorders>
              <w:top w:val="single" w:sz="4" w:space="0" w:color="auto"/>
              <w:left w:val="single" w:sz="4" w:space="0" w:color="auto"/>
              <w:bottom w:val="single" w:sz="4" w:space="0" w:color="auto"/>
              <w:right w:val="single" w:sz="4" w:space="0" w:color="auto"/>
            </w:tcBorders>
            <w:vAlign w:val="center"/>
            <w:hideMark/>
          </w:tcPr>
          <w:p w:rsidR="004F2B32" w:rsidRPr="002D2CD1" w:rsidRDefault="004F2B32" w:rsidP="0044723A">
            <w:pPr>
              <w:spacing w:after="0"/>
              <w:contextualSpacing/>
              <w:jc w:val="both"/>
              <w:rPr>
                <w:sz w:val="24"/>
              </w:rPr>
            </w:pPr>
            <w:r w:rsidRPr="002D2CD1">
              <w:rPr>
                <w:sz w:val="24"/>
              </w:rPr>
              <w:t>Procent contribuție publică</w:t>
            </w:r>
          </w:p>
        </w:tc>
        <w:tc>
          <w:tcPr>
            <w:tcW w:w="153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F2B32" w:rsidRPr="002D2CD1" w:rsidRDefault="004F2B32" w:rsidP="0044723A">
            <w:pPr>
              <w:spacing w:after="0"/>
              <w:contextualSpacing/>
              <w:jc w:val="both"/>
              <w:rPr>
                <w:sz w:val="24"/>
              </w:rPr>
            </w:pPr>
          </w:p>
        </w:tc>
      </w:tr>
    </w:tbl>
    <w:p w:rsidR="004F2B32" w:rsidRPr="00384D21" w:rsidRDefault="004F2B32" w:rsidP="004F2B32">
      <w:pPr>
        <w:spacing w:after="0"/>
        <w:contextualSpacing/>
        <w:jc w:val="both"/>
        <w:rPr>
          <w:sz w:val="16"/>
          <w:szCs w:val="16"/>
        </w:rPr>
      </w:pPr>
    </w:p>
    <w:p w:rsidR="004F2B32" w:rsidRPr="002D2CD1" w:rsidRDefault="00384D21" w:rsidP="004F2B32">
      <w:pPr>
        <w:spacing w:after="0"/>
        <w:contextualSpacing/>
        <w:jc w:val="both"/>
        <w:rPr>
          <w:sz w:val="24"/>
        </w:rPr>
      </w:pPr>
      <w:r>
        <w:rPr>
          <w:b/>
          <w:sz w:val="24"/>
        </w:rPr>
        <w:t>NOTE</w:t>
      </w:r>
      <w:r w:rsidRPr="00384D21">
        <w:rPr>
          <w:b/>
          <w:sz w:val="24"/>
        </w:rPr>
        <w:t>!</w:t>
      </w:r>
      <w:r>
        <w:rPr>
          <w:sz w:val="24"/>
        </w:rPr>
        <w:t xml:space="preserve"> </w:t>
      </w:r>
      <w:r w:rsidRPr="00384D21">
        <w:rPr>
          <w:b/>
          <w:sz w:val="24"/>
        </w:rPr>
        <w:t xml:space="preserve">(1) </w:t>
      </w:r>
      <w:r w:rsidR="004F2B32" w:rsidRPr="00384D21">
        <w:rPr>
          <w:b/>
          <w:sz w:val="24"/>
        </w:rPr>
        <w:t>Cursul de schimb EURO - RON</w:t>
      </w:r>
      <w:r w:rsidR="004F2B32" w:rsidRPr="002D2CD1">
        <w:rPr>
          <w:sz w:val="24"/>
        </w:rPr>
        <w:t xml:space="preserve"> utilizat la Contractul de finanţare este cursul euro-leu stabilit de către Banca Central Europeană, publicat pe pagina web </w:t>
      </w:r>
      <w:hyperlink r:id="rId7" w:history="1">
        <w:r w:rsidR="004F2B32" w:rsidRPr="002D2CD1">
          <w:rPr>
            <w:rStyle w:val="Hyperlink"/>
          </w:rPr>
          <w:t>http://www.ecb.int/index.html</w:t>
        </w:r>
      </w:hyperlink>
      <w:r w:rsidR="004F2B32" w:rsidRPr="002D2CD1">
        <w:rPr>
          <w:sz w:val="24"/>
        </w:rPr>
        <w:t xml:space="preserve">, valabil la data de 01 ianuarie a anului în cursul căruia este luată decizia de acordare a ajutorului financiar nerambursabil, respectiv anul încheierii Contractului de finanțare. </w:t>
      </w:r>
    </w:p>
    <w:p w:rsidR="004F2B32" w:rsidRPr="00384D21" w:rsidRDefault="00384D21" w:rsidP="004F2B32">
      <w:pPr>
        <w:spacing w:after="0"/>
        <w:contextualSpacing/>
        <w:jc w:val="both"/>
        <w:rPr>
          <w:b/>
          <w:sz w:val="24"/>
        </w:rPr>
      </w:pPr>
      <w:r w:rsidRPr="00384D21">
        <w:rPr>
          <w:b/>
          <w:sz w:val="24"/>
        </w:rPr>
        <w:t xml:space="preserve">(2) </w:t>
      </w:r>
      <w:r w:rsidR="004F2B32" w:rsidRPr="00384D21">
        <w:rPr>
          <w:b/>
          <w:sz w:val="24"/>
        </w:rPr>
        <w:t xml:space="preserve">Cheltuielile eligibile: </w:t>
      </w:r>
    </w:p>
    <w:p w:rsidR="004F2B32" w:rsidRPr="00384D21" w:rsidRDefault="004F2B32" w:rsidP="004F2B32">
      <w:pPr>
        <w:spacing w:after="0"/>
        <w:contextualSpacing/>
        <w:jc w:val="both"/>
        <w:rPr>
          <w:b/>
          <w:sz w:val="24"/>
        </w:rPr>
      </w:pPr>
      <w:r w:rsidRPr="002D2CD1">
        <w:rPr>
          <w:b/>
          <w:sz w:val="24"/>
        </w:rPr>
        <w:t xml:space="preserve">Pentru Cap I: </w:t>
      </w:r>
      <w:r w:rsidR="00384D21" w:rsidRPr="00384D21">
        <w:rPr>
          <w:b/>
          <w:sz w:val="24"/>
        </w:rPr>
        <w:t>CHELTUIELI CU PERSONALUL</w:t>
      </w:r>
    </w:p>
    <w:p w:rsidR="004F2B32" w:rsidRDefault="004F2B32" w:rsidP="004F2B32">
      <w:pPr>
        <w:numPr>
          <w:ilvl w:val="0"/>
          <w:numId w:val="1"/>
        </w:numPr>
        <w:spacing w:after="0"/>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rsidR="00384D21" w:rsidRPr="00384D21" w:rsidRDefault="00384D21" w:rsidP="00384D21">
      <w:pPr>
        <w:spacing w:after="0"/>
        <w:ind w:left="360"/>
        <w:contextualSpacing/>
        <w:jc w:val="both"/>
        <w:rPr>
          <w:sz w:val="8"/>
          <w:szCs w:val="8"/>
        </w:rPr>
      </w:pPr>
    </w:p>
    <w:p w:rsidR="004F2B32" w:rsidRDefault="004F2B32" w:rsidP="004F2B32">
      <w:pPr>
        <w:numPr>
          <w:ilvl w:val="0"/>
          <w:numId w:val="1"/>
        </w:numPr>
        <w:spacing w:after="0"/>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rsidR="004F2B32" w:rsidRDefault="004F2B32" w:rsidP="004F2B32">
      <w:pPr>
        <w:numPr>
          <w:ilvl w:val="0"/>
          <w:numId w:val="1"/>
        </w:numPr>
        <w:spacing w:after="0"/>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rsidR="004F2B32" w:rsidRDefault="004F2B32" w:rsidP="004F2B32">
      <w:pPr>
        <w:numPr>
          <w:ilvl w:val="0"/>
          <w:numId w:val="1"/>
        </w:numPr>
        <w:spacing w:after="0"/>
        <w:ind w:left="360"/>
        <w:contextualSpacing/>
        <w:jc w:val="both"/>
        <w:rPr>
          <w:sz w:val="24"/>
        </w:rPr>
      </w:pPr>
      <w:r w:rsidRPr="002D2CD1">
        <w:rPr>
          <w:sz w:val="24"/>
        </w:rPr>
        <w:t xml:space="preserve">cheltuieli privind </w:t>
      </w:r>
      <w:r>
        <w:rPr>
          <w:sz w:val="24"/>
        </w:rPr>
        <w:t>masa/ diurna</w:t>
      </w:r>
      <w:r>
        <w:rPr>
          <w:rStyle w:val="FootnoteReference"/>
          <w:sz w:val="24"/>
        </w:rPr>
        <w:footnoteReference w:id="1"/>
      </w:r>
      <w:r w:rsidRPr="002D2CD1">
        <w:rPr>
          <w:sz w:val="24"/>
        </w:rPr>
        <w:t xml:space="preserve"> </w:t>
      </w:r>
      <w:r>
        <w:rPr>
          <w:sz w:val="24"/>
        </w:rPr>
        <w:t>experților</w:t>
      </w:r>
      <w:r w:rsidRPr="002D2CD1">
        <w:rPr>
          <w:sz w:val="24"/>
        </w:rPr>
        <w:t xml:space="preserve"> la acțiunile proiectului</w:t>
      </w:r>
      <w:r>
        <w:rPr>
          <w:sz w:val="24"/>
        </w:rPr>
        <w:t>.</w:t>
      </w:r>
    </w:p>
    <w:p w:rsidR="004F2B32" w:rsidRPr="00384D21" w:rsidRDefault="004F2B32" w:rsidP="004F2B32">
      <w:pPr>
        <w:spacing w:after="0"/>
        <w:ind w:left="360"/>
        <w:contextualSpacing/>
        <w:jc w:val="both"/>
        <w:rPr>
          <w:sz w:val="8"/>
          <w:szCs w:val="8"/>
        </w:rPr>
      </w:pPr>
    </w:p>
    <w:p w:rsidR="004F2B32" w:rsidRPr="002D2CD1" w:rsidRDefault="004F2B32" w:rsidP="004F2B32">
      <w:pPr>
        <w:spacing w:after="0"/>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rsidR="004F2B32" w:rsidRPr="00384D21" w:rsidRDefault="004F2B32" w:rsidP="004F2B32">
      <w:pPr>
        <w:spacing w:after="0"/>
        <w:ind w:left="360"/>
        <w:contextualSpacing/>
        <w:jc w:val="both"/>
        <w:rPr>
          <w:sz w:val="8"/>
          <w:szCs w:val="8"/>
        </w:rPr>
      </w:pPr>
    </w:p>
    <w:p w:rsidR="004F2B32" w:rsidRPr="002D2CD1" w:rsidRDefault="004F2B32" w:rsidP="004F2B32">
      <w:pPr>
        <w:spacing w:after="0"/>
        <w:contextualSpacing/>
        <w:jc w:val="both"/>
        <w:rPr>
          <w:sz w:val="24"/>
        </w:rPr>
      </w:pPr>
      <w:r>
        <w:rPr>
          <w:sz w:val="24"/>
          <w:szCs w:val="24"/>
        </w:rPr>
        <w:t>Există două</w:t>
      </w:r>
      <w:r w:rsidRPr="002D2CD1">
        <w:rPr>
          <w:sz w:val="24"/>
        </w:rPr>
        <w:t xml:space="preserve"> variante posibile pentru asigurarea personalului implicat în proiect:</w:t>
      </w:r>
    </w:p>
    <w:p w:rsidR="004F2B32" w:rsidRPr="006560DA" w:rsidRDefault="004F2B32" w:rsidP="004F2B32">
      <w:pPr>
        <w:numPr>
          <w:ilvl w:val="0"/>
          <w:numId w:val="6"/>
        </w:numPr>
        <w:spacing w:after="0"/>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rsidR="004F2B32" w:rsidRPr="0072481A" w:rsidRDefault="004F2B32" w:rsidP="004F2B32">
      <w:pPr>
        <w:numPr>
          <w:ilvl w:val="0"/>
          <w:numId w:val="6"/>
        </w:numPr>
        <w:spacing w:after="0"/>
        <w:ind w:left="360" w:hanging="360"/>
        <w:contextualSpacing/>
        <w:jc w:val="both"/>
        <w:rPr>
          <w:sz w:val="24"/>
          <w:szCs w:val="24"/>
        </w:rPr>
      </w:pPr>
      <w:r w:rsidRPr="00F30F4E">
        <w:rPr>
          <w:sz w:val="24"/>
          <w:szCs w:val="24"/>
        </w:rPr>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rsidR="004F2B32" w:rsidRPr="000D6FF6" w:rsidRDefault="004F2B32" w:rsidP="004F2B32">
      <w:pPr>
        <w:spacing w:after="0"/>
        <w:ind w:left="360"/>
        <w:contextualSpacing/>
        <w:jc w:val="both"/>
        <w:rPr>
          <w:sz w:val="8"/>
          <w:szCs w:val="8"/>
        </w:rPr>
      </w:pPr>
    </w:p>
    <w:p w:rsidR="004F2B32" w:rsidRDefault="004F2B32" w:rsidP="004F2B32">
      <w:pPr>
        <w:spacing w:after="0"/>
        <w:contextualSpacing/>
        <w:jc w:val="both"/>
        <w:rPr>
          <w:sz w:val="24"/>
        </w:rPr>
      </w:pPr>
      <w:r w:rsidRPr="002D2CD1">
        <w:rPr>
          <w:sz w:val="24"/>
        </w:rPr>
        <w:t xml:space="preserve">Plafoanele prevăzute în Baza de date cu prețuri maximale pentru proiectele finanțate prin LEADER </w:t>
      </w:r>
      <w:r w:rsidR="000D6FF6">
        <w:rPr>
          <w:sz w:val="24"/>
        </w:rPr>
        <w:t>(</w:t>
      </w:r>
      <w:r w:rsidR="000D6FF6" w:rsidRPr="00763290">
        <w:rPr>
          <w:rFonts w:asciiTheme="minorHAnsi" w:hAnsiTheme="minorHAnsi" w:cstheme="minorHAnsi"/>
          <w:sz w:val="24"/>
          <w:szCs w:val="24"/>
        </w:rPr>
        <w:t xml:space="preserve">postate pe </w:t>
      </w:r>
      <w:hyperlink r:id="rId8" w:history="1">
        <w:r w:rsidR="00306E7A" w:rsidRPr="00234922">
          <w:rPr>
            <w:rStyle w:val="Hyperlink"/>
            <w:rFonts w:asciiTheme="minorHAnsi" w:hAnsiTheme="minorHAnsi" w:cstheme="minorHAnsi"/>
            <w:sz w:val="24"/>
            <w:szCs w:val="24"/>
          </w:rPr>
          <w:t>www.afir.ro</w:t>
        </w:r>
      </w:hyperlink>
      <w:r w:rsidR="000D6FF6" w:rsidRPr="000D6FF6">
        <w:rPr>
          <w:rStyle w:val="Hyperlink"/>
          <w:rFonts w:asciiTheme="minorHAnsi" w:hAnsiTheme="minorHAnsi" w:cstheme="minorHAnsi"/>
          <w:color w:val="auto"/>
          <w:sz w:val="24"/>
          <w:szCs w:val="24"/>
          <w:u w:val="none"/>
        </w:rPr>
        <w:t xml:space="preserve">) </w:t>
      </w:r>
      <w:r w:rsidRPr="000D6FF6">
        <w:rPr>
          <w:sz w:val="24"/>
        </w:rPr>
        <w:t>p</w:t>
      </w:r>
      <w:r>
        <w:rPr>
          <w:sz w:val="24"/>
        </w:rPr>
        <w:t xml:space="preserve">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rsidR="004F2B32" w:rsidRPr="000D6FF6" w:rsidRDefault="004F2B32" w:rsidP="004F2B32">
      <w:pPr>
        <w:spacing w:after="0"/>
        <w:contextualSpacing/>
        <w:jc w:val="both"/>
        <w:rPr>
          <w:sz w:val="8"/>
          <w:szCs w:val="8"/>
        </w:rPr>
      </w:pPr>
    </w:p>
    <w:p w:rsidR="004F2B32" w:rsidRPr="002D2CD1" w:rsidRDefault="004F2B32" w:rsidP="004F2B32">
      <w:pPr>
        <w:spacing w:after="0"/>
        <w:contextualSpacing/>
        <w:jc w:val="both"/>
        <w:rPr>
          <w:sz w:val="24"/>
        </w:rPr>
      </w:pPr>
      <w:r w:rsidRPr="002D2CD1">
        <w:rPr>
          <w:sz w:val="24"/>
        </w:rPr>
        <w:t xml:space="preserve">Toate cheltuielile de mai sus necesită procedură de achiziții, cu excepția: </w:t>
      </w:r>
    </w:p>
    <w:p w:rsidR="004F2B32" w:rsidRPr="002D2CD1" w:rsidRDefault="004F2B32" w:rsidP="004F2B32">
      <w:pPr>
        <w:numPr>
          <w:ilvl w:val="0"/>
          <w:numId w:val="2"/>
        </w:numPr>
        <w:spacing w:after="0"/>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4F2B32" w:rsidRPr="002D2CD1" w:rsidRDefault="004F2B32" w:rsidP="004F2B32">
      <w:pPr>
        <w:numPr>
          <w:ilvl w:val="0"/>
          <w:numId w:val="2"/>
        </w:numPr>
        <w:spacing w:after="0"/>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w:t>
      </w:r>
    </w:p>
    <w:p w:rsidR="004F2B32" w:rsidRPr="002D2CD1" w:rsidRDefault="004F2B32" w:rsidP="004F2B32">
      <w:pPr>
        <w:numPr>
          <w:ilvl w:val="0"/>
          <w:numId w:val="2"/>
        </w:numPr>
        <w:spacing w:after="0"/>
        <w:ind w:left="360"/>
        <w:contextualSpacing/>
        <w:jc w:val="both"/>
        <w:rPr>
          <w:sz w:val="24"/>
        </w:rPr>
      </w:pPr>
      <w:r>
        <w:rPr>
          <w:sz w:val="24"/>
        </w:rPr>
        <w:t>cheltuielilor cu diurna;</w:t>
      </w:r>
    </w:p>
    <w:p w:rsidR="004F2B32" w:rsidRPr="002D2CD1" w:rsidRDefault="004F2B32" w:rsidP="004F2B32">
      <w:pPr>
        <w:numPr>
          <w:ilvl w:val="0"/>
          <w:numId w:val="2"/>
        </w:numPr>
        <w:spacing w:after="0"/>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4F2B32" w:rsidRPr="000D6FF6" w:rsidRDefault="004F2B32" w:rsidP="004F2B32">
      <w:pPr>
        <w:spacing w:after="0"/>
        <w:ind w:left="360"/>
        <w:contextualSpacing/>
        <w:jc w:val="both"/>
        <w:rPr>
          <w:sz w:val="8"/>
          <w:szCs w:val="8"/>
        </w:rPr>
      </w:pPr>
    </w:p>
    <w:p w:rsidR="004F2B32" w:rsidRPr="002D2CD1" w:rsidRDefault="004F2B32" w:rsidP="004F2B32">
      <w:pPr>
        <w:spacing w:after="0"/>
        <w:ind w:left="360"/>
        <w:contextualSpacing/>
        <w:jc w:val="both"/>
        <w:rPr>
          <w:b/>
          <w:sz w:val="24"/>
        </w:rPr>
      </w:pPr>
      <w:r w:rsidRPr="002D2CD1">
        <w:rPr>
          <w:b/>
          <w:sz w:val="24"/>
        </w:rPr>
        <w:t>Pentru Cap II:</w:t>
      </w:r>
      <w:r w:rsidR="000D6FF6">
        <w:rPr>
          <w:b/>
          <w:sz w:val="24"/>
        </w:rPr>
        <w:t xml:space="preserve"> </w:t>
      </w:r>
      <w:r w:rsidR="000D6FF6" w:rsidRPr="000D6FF6">
        <w:rPr>
          <w:b/>
          <w:sz w:val="24"/>
        </w:rPr>
        <w:t>CHELTUIELI PENTRU DERULAREA PROIECTULUI</w:t>
      </w:r>
    </w:p>
    <w:p w:rsidR="004F2B32" w:rsidRDefault="004F2B32" w:rsidP="004F2B32">
      <w:pPr>
        <w:numPr>
          <w:ilvl w:val="0"/>
          <w:numId w:val="3"/>
        </w:numPr>
        <w:spacing w:after="0"/>
        <w:ind w:left="360"/>
        <w:contextualSpacing/>
        <w:jc w:val="both"/>
        <w:rPr>
          <w:sz w:val="24"/>
        </w:rPr>
      </w:pPr>
      <w:r w:rsidRPr="002D2CD1">
        <w:rPr>
          <w:sz w:val="24"/>
        </w:rPr>
        <w:t>cheltuieli privind transportul participanților la acțiunile proiectului;</w:t>
      </w:r>
    </w:p>
    <w:p w:rsidR="000D6FF6" w:rsidRDefault="000D6FF6" w:rsidP="000D6FF6">
      <w:pPr>
        <w:spacing w:after="0"/>
        <w:ind w:left="360"/>
        <w:contextualSpacing/>
        <w:jc w:val="both"/>
        <w:rPr>
          <w:sz w:val="8"/>
          <w:szCs w:val="8"/>
        </w:rPr>
      </w:pPr>
    </w:p>
    <w:p w:rsidR="000D6FF6" w:rsidRDefault="000D6FF6" w:rsidP="000D6FF6">
      <w:pPr>
        <w:spacing w:after="0"/>
        <w:ind w:left="360"/>
        <w:contextualSpacing/>
        <w:jc w:val="both"/>
        <w:rPr>
          <w:sz w:val="8"/>
          <w:szCs w:val="8"/>
        </w:rPr>
      </w:pPr>
    </w:p>
    <w:p w:rsidR="000D6FF6" w:rsidRPr="000D6FF6" w:rsidRDefault="000D6FF6" w:rsidP="000D6FF6">
      <w:pPr>
        <w:spacing w:after="0"/>
        <w:ind w:left="360"/>
        <w:contextualSpacing/>
        <w:jc w:val="both"/>
        <w:rPr>
          <w:sz w:val="8"/>
          <w:szCs w:val="8"/>
        </w:rPr>
      </w:pPr>
    </w:p>
    <w:p w:rsidR="004F2B32" w:rsidRPr="002D2CD1" w:rsidRDefault="004F2B32" w:rsidP="004F2B32">
      <w:pPr>
        <w:numPr>
          <w:ilvl w:val="0"/>
          <w:numId w:val="3"/>
        </w:numPr>
        <w:spacing w:after="0"/>
        <w:ind w:left="360"/>
        <w:contextualSpacing/>
        <w:jc w:val="both"/>
        <w:rPr>
          <w:sz w:val="24"/>
        </w:rPr>
      </w:pPr>
      <w:r w:rsidRPr="002D2CD1">
        <w:rPr>
          <w:sz w:val="24"/>
        </w:rPr>
        <w:t>cheltuieli privind cazarea participanților la acțiunile proiectului;</w:t>
      </w:r>
    </w:p>
    <w:p w:rsidR="004F2B32" w:rsidRDefault="004F2B32" w:rsidP="004F2B32">
      <w:pPr>
        <w:numPr>
          <w:ilvl w:val="0"/>
          <w:numId w:val="3"/>
        </w:numPr>
        <w:spacing w:after="0"/>
        <w:ind w:left="360"/>
        <w:contextualSpacing/>
        <w:jc w:val="both"/>
        <w:rPr>
          <w:sz w:val="24"/>
        </w:rPr>
      </w:pPr>
      <w:r w:rsidRPr="002D2CD1">
        <w:rPr>
          <w:sz w:val="24"/>
        </w:rPr>
        <w:t xml:space="preserve">cheltuieli privind masa participanților la acțiunile proiectului; </w:t>
      </w:r>
    </w:p>
    <w:p w:rsidR="004F2B32" w:rsidRPr="002D2CD1" w:rsidRDefault="004F2B32" w:rsidP="004F2B32">
      <w:pPr>
        <w:numPr>
          <w:ilvl w:val="0"/>
          <w:numId w:val="3"/>
        </w:numPr>
        <w:spacing w:after="0"/>
        <w:ind w:left="360"/>
        <w:contextualSpacing/>
        <w:jc w:val="both"/>
        <w:rPr>
          <w:sz w:val="24"/>
        </w:rPr>
      </w:pPr>
      <w:r>
        <w:rPr>
          <w:sz w:val="24"/>
        </w:rPr>
        <w:t xml:space="preserve">cheltuieli pentru </w:t>
      </w:r>
      <w:r w:rsidRPr="002D2CD1">
        <w:rPr>
          <w:sz w:val="24"/>
        </w:rPr>
        <w:t>servicii de traducere și interpretare</w:t>
      </w:r>
      <w:r>
        <w:rPr>
          <w:sz w:val="24"/>
        </w:rPr>
        <w:t>;</w:t>
      </w:r>
    </w:p>
    <w:p w:rsidR="004F2B32" w:rsidRPr="002D2CD1" w:rsidRDefault="004F2B32" w:rsidP="004F2B32">
      <w:pPr>
        <w:numPr>
          <w:ilvl w:val="0"/>
          <w:numId w:val="3"/>
        </w:numPr>
        <w:spacing w:after="0"/>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rsidR="004F2B32" w:rsidRDefault="004F2B32" w:rsidP="004F2B32">
      <w:pPr>
        <w:numPr>
          <w:ilvl w:val="0"/>
          <w:numId w:val="3"/>
        </w:numPr>
        <w:spacing w:after="0"/>
        <w:ind w:left="360"/>
        <w:contextualSpacing/>
        <w:jc w:val="both"/>
        <w:rPr>
          <w:sz w:val="24"/>
        </w:rPr>
      </w:pPr>
      <w:r w:rsidRPr="002D2CD1">
        <w:rPr>
          <w:sz w:val="24"/>
        </w:rPr>
        <w:t>cheltuieli pentru închirierea de echipamente și logistică pentru derularea acțiunilor în cadrul proiectului</w:t>
      </w:r>
      <w:r>
        <w:rPr>
          <w:sz w:val="24"/>
        </w:rPr>
        <w:t xml:space="preserve"> (corelat cu obiectivul proiectului)</w:t>
      </w:r>
      <w:r w:rsidRPr="002D2CD1">
        <w:rPr>
          <w:sz w:val="24"/>
        </w:rPr>
        <w:t>;</w:t>
      </w:r>
    </w:p>
    <w:p w:rsidR="004F2B32" w:rsidRPr="002D2CD1" w:rsidRDefault="004F2B32" w:rsidP="004F2B32">
      <w:pPr>
        <w:numPr>
          <w:ilvl w:val="0"/>
          <w:numId w:val="3"/>
        </w:numPr>
        <w:spacing w:after="0"/>
        <w:ind w:left="360"/>
        <w:contextualSpacing/>
        <w:jc w:val="both"/>
        <w:rPr>
          <w:sz w:val="24"/>
        </w:rPr>
      </w:pPr>
      <w:r>
        <w:rPr>
          <w:sz w:val="24"/>
        </w:rPr>
        <w:t>cheltuieli cu aplicații software adecvate activității descrise în proiect;</w:t>
      </w:r>
    </w:p>
    <w:p w:rsidR="004F2B32" w:rsidRPr="002D2CD1" w:rsidRDefault="004F2B32" w:rsidP="004F2B32">
      <w:pPr>
        <w:numPr>
          <w:ilvl w:val="0"/>
          <w:numId w:val="3"/>
        </w:numPr>
        <w:spacing w:after="0"/>
        <w:ind w:left="360"/>
        <w:contextualSpacing/>
        <w:jc w:val="both"/>
        <w:rPr>
          <w:sz w:val="24"/>
        </w:rPr>
      </w:pPr>
      <w:r w:rsidRPr="002D2CD1">
        <w:rPr>
          <w:sz w:val="24"/>
        </w:rPr>
        <w:t>cheltuieli pentru achiz</w:t>
      </w:r>
      <w:r w:rsidR="000D6FF6">
        <w:rPr>
          <w:sz w:val="24"/>
        </w:rPr>
        <w:t>iția de materiale didactice și/</w:t>
      </w:r>
      <w:r w:rsidRPr="002D2CD1">
        <w:rPr>
          <w:sz w:val="24"/>
        </w:rPr>
        <w:t xml:space="preserve">sau consumabile pentru derularea activităților proiectului; </w:t>
      </w:r>
    </w:p>
    <w:p w:rsidR="004F2B32" w:rsidRPr="002D2CD1" w:rsidRDefault="004F2B32" w:rsidP="004F2B32">
      <w:pPr>
        <w:numPr>
          <w:ilvl w:val="0"/>
          <w:numId w:val="3"/>
        </w:numPr>
        <w:spacing w:after="0"/>
        <w:ind w:left="360"/>
        <w:contextualSpacing/>
        <w:jc w:val="both"/>
        <w:rPr>
          <w:sz w:val="24"/>
        </w:rPr>
      </w:pPr>
      <w:r w:rsidRPr="002D2CD1">
        <w:rPr>
          <w:sz w:val="24"/>
        </w:rPr>
        <w:t>cheltuieli cu materiale de informare și promovare utilizate în acțiunile proiectului (</w:t>
      </w:r>
      <w:r>
        <w:rPr>
          <w:sz w:val="24"/>
        </w:rPr>
        <w:t>memory stick,</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r>
        <w:rPr>
          <w:sz w:val="24"/>
        </w:rPr>
        <w:t xml:space="preserve"> </w:t>
      </w:r>
    </w:p>
    <w:p w:rsidR="004F2B32" w:rsidRPr="002D2CD1" w:rsidRDefault="004F2B32" w:rsidP="004F2B32">
      <w:pPr>
        <w:numPr>
          <w:ilvl w:val="0"/>
          <w:numId w:val="3"/>
        </w:numPr>
        <w:spacing w:after="0"/>
        <w:ind w:left="360"/>
        <w:contextualSpacing/>
        <w:jc w:val="both"/>
        <w:rPr>
          <w:sz w:val="24"/>
        </w:rPr>
      </w:pPr>
      <w:r w:rsidRPr="002D2CD1">
        <w:rPr>
          <w:sz w:val="24"/>
        </w:rPr>
        <w:t>cheltuieli cu plata auditorului;</w:t>
      </w:r>
    </w:p>
    <w:p w:rsidR="004F2B32" w:rsidRPr="002D2CD1" w:rsidRDefault="004F2B32" w:rsidP="004F2B32">
      <w:pPr>
        <w:numPr>
          <w:ilvl w:val="0"/>
          <w:numId w:val="3"/>
        </w:numPr>
        <w:spacing w:after="0"/>
        <w:ind w:left="360"/>
        <w:contextualSpacing/>
        <w:jc w:val="both"/>
        <w:rPr>
          <w:sz w:val="24"/>
        </w:rPr>
      </w:pPr>
      <w:r w:rsidRPr="002D2CD1">
        <w:rPr>
          <w:sz w:val="24"/>
        </w:rPr>
        <w:t>alte cheltuieli pentru derularea proiectului (cheltuieli poștale</w:t>
      </w:r>
      <w:r w:rsidR="000D6FF6">
        <w:rPr>
          <w:sz w:val="24"/>
        </w:rPr>
        <w:t xml:space="preserve"> </w:t>
      </w:r>
      <w:r>
        <w:rPr>
          <w:sz w:val="24"/>
        </w:rPr>
        <w:t>/ de curierat</w:t>
      </w:r>
      <w:r w:rsidRPr="002D2CD1">
        <w:rPr>
          <w:sz w:val="24"/>
        </w:rPr>
        <w:t xml:space="preserve">, </w:t>
      </w:r>
      <w:r>
        <w:rPr>
          <w:sz w:val="24"/>
        </w:rPr>
        <w:t xml:space="preserve">cheltuieli </w:t>
      </w:r>
      <w:r w:rsidRPr="002D2CD1">
        <w:rPr>
          <w:sz w:val="24"/>
        </w:rPr>
        <w:t xml:space="preserve">de telefonie).  </w:t>
      </w:r>
    </w:p>
    <w:p w:rsidR="004F2B32" w:rsidRPr="000D6FF6" w:rsidRDefault="004F2B32" w:rsidP="004F2B32">
      <w:pPr>
        <w:spacing w:after="0"/>
        <w:contextualSpacing/>
        <w:jc w:val="both"/>
        <w:rPr>
          <w:sz w:val="8"/>
          <w:szCs w:val="8"/>
        </w:rPr>
      </w:pPr>
    </w:p>
    <w:p w:rsidR="004F2B32" w:rsidRPr="002D2CD1" w:rsidRDefault="004F2B32" w:rsidP="004F2B32">
      <w:pPr>
        <w:spacing w:after="0"/>
        <w:contextualSpacing/>
        <w:jc w:val="both"/>
        <w:rPr>
          <w:sz w:val="24"/>
        </w:rPr>
      </w:pPr>
      <w:r w:rsidRPr="002D2CD1">
        <w:rPr>
          <w:sz w:val="24"/>
        </w:rPr>
        <w:t>Toate cheltuielile de mai sus necesită procedură de achiziții, cu excepția:</w:t>
      </w:r>
    </w:p>
    <w:p w:rsidR="004F2B32" w:rsidRPr="002D2CD1" w:rsidRDefault="004F2B32" w:rsidP="004F2B32">
      <w:pPr>
        <w:numPr>
          <w:ilvl w:val="0"/>
          <w:numId w:val="4"/>
        </w:numPr>
        <w:spacing w:after="0"/>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rsidR="004F2B32" w:rsidRPr="002D2CD1" w:rsidRDefault="004F2B32" w:rsidP="004F2B32">
      <w:pPr>
        <w:numPr>
          <w:ilvl w:val="0"/>
          <w:numId w:val="4"/>
        </w:numPr>
        <w:spacing w:after="0"/>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4F2B32" w:rsidRDefault="004F2B32" w:rsidP="004F2B32">
      <w:pPr>
        <w:numPr>
          <w:ilvl w:val="0"/>
          <w:numId w:val="4"/>
        </w:numPr>
        <w:spacing w:after="0"/>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4F2B32" w:rsidRPr="002D2CD1" w:rsidRDefault="004F2B32" w:rsidP="004F2B32">
      <w:pPr>
        <w:numPr>
          <w:ilvl w:val="0"/>
          <w:numId w:val="4"/>
        </w:numPr>
        <w:spacing w:after="0"/>
        <w:ind w:left="360"/>
        <w:contextualSpacing/>
        <w:rPr>
          <w:sz w:val="24"/>
        </w:rPr>
      </w:pPr>
      <w:r w:rsidRPr="002D2CD1">
        <w:rPr>
          <w:sz w:val="24"/>
        </w:rPr>
        <w:t>cheltuielilor poștale</w:t>
      </w:r>
      <w:r w:rsidR="000D6FF6">
        <w:rPr>
          <w:sz w:val="24"/>
        </w:rPr>
        <w:t xml:space="preserve"> </w:t>
      </w:r>
      <w:r>
        <w:rPr>
          <w:sz w:val="24"/>
        </w:rPr>
        <w:t>/ de curierat</w:t>
      </w:r>
      <w:r>
        <w:rPr>
          <w:rFonts w:eastAsia="Times New Roman"/>
          <w:sz w:val="24"/>
          <w:szCs w:val="24"/>
        </w:rPr>
        <w:t>.</w:t>
      </w:r>
    </w:p>
    <w:p w:rsidR="004F2B32" w:rsidRPr="000D6FF6" w:rsidRDefault="004F2B32" w:rsidP="004F2B32">
      <w:pPr>
        <w:spacing w:after="0"/>
        <w:contextualSpacing/>
        <w:jc w:val="both"/>
        <w:rPr>
          <w:sz w:val="8"/>
          <w:szCs w:val="8"/>
        </w:rPr>
      </w:pPr>
    </w:p>
    <w:p w:rsidR="004F2B32" w:rsidRDefault="004F2B32" w:rsidP="004F2B32">
      <w:pPr>
        <w:spacing w:after="0"/>
        <w:contextualSpacing/>
        <w:jc w:val="both"/>
        <w:rPr>
          <w:sz w:val="24"/>
        </w:rPr>
      </w:pPr>
      <w:r w:rsidRPr="002D2CD1">
        <w:rPr>
          <w:sz w:val="24"/>
        </w:rPr>
        <w:t>La realizarea Fundamentării bugetare</w:t>
      </w:r>
      <w:r>
        <w:rPr>
          <w:sz w:val="24"/>
        </w:rPr>
        <w:t xml:space="preserve"> </w:t>
      </w:r>
      <w:r w:rsidRPr="002D2CD1">
        <w:rPr>
          <w:sz w:val="24"/>
        </w:rPr>
        <w:t>salariul</w:t>
      </w:r>
      <w:r w:rsidR="000D6FF6">
        <w:rPr>
          <w:sz w:val="24"/>
        </w:rPr>
        <w:t xml:space="preserve"> </w:t>
      </w:r>
      <w:r w:rsidRPr="002D2CD1">
        <w:rPr>
          <w:sz w:val="24"/>
        </w:rPr>
        <w:t xml:space="preserve">/ onorariul experților </w:t>
      </w:r>
      <w:r>
        <w:rPr>
          <w:sz w:val="24"/>
        </w:rPr>
        <w:t>cheie</w:t>
      </w:r>
      <w:r w:rsidRPr="002D2CD1">
        <w:rPr>
          <w:sz w:val="24"/>
        </w:rPr>
        <w:t xml:space="preserve"> se va calcula exclusiv pe durata efectiv prestată de experți în cadrul activităților de formare profesională</w:t>
      </w:r>
      <w:r w:rsidR="000D6FF6">
        <w:rPr>
          <w:sz w:val="24"/>
        </w:rPr>
        <w:t xml:space="preserve"> </w:t>
      </w:r>
      <w:r w:rsidRPr="002D2CD1">
        <w:rPr>
          <w:sz w:val="24"/>
        </w:rPr>
        <w:t>/ activităţi</w:t>
      </w:r>
      <w:r>
        <w:rPr>
          <w:sz w:val="24"/>
        </w:rPr>
        <w:t>lor</w:t>
      </w:r>
      <w:r w:rsidRPr="002D2CD1">
        <w:rPr>
          <w:sz w:val="24"/>
        </w:rPr>
        <w:t xml:space="preserve"> demonstrative</w:t>
      </w:r>
      <w:r w:rsidR="000D6FF6">
        <w:rPr>
          <w:sz w:val="24"/>
        </w:rPr>
        <w:t xml:space="preserve"> </w:t>
      </w:r>
      <w:r w:rsidRPr="002D2CD1">
        <w:rPr>
          <w:sz w:val="24"/>
        </w:rPr>
        <w:t>/ acţiuni</w:t>
      </w:r>
      <w:r>
        <w:rPr>
          <w:sz w:val="24"/>
        </w:rPr>
        <w:t>lor</w:t>
      </w:r>
      <w:r w:rsidRPr="002D2CD1">
        <w:rPr>
          <w:sz w:val="24"/>
        </w:rPr>
        <w:t xml:space="preserve"> de informare (zile/curs, zile/seminar</w:t>
      </w:r>
      <w:r>
        <w:rPr>
          <w:sz w:val="24"/>
        </w:rPr>
        <w:t>, zile/sesiune</w:t>
      </w:r>
      <w:r w:rsidRPr="002D2CD1">
        <w:rPr>
          <w:sz w:val="24"/>
        </w:rPr>
        <w:t>)</w:t>
      </w:r>
      <w:r w:rsidR="000D6FF6">
        <w:rPr>
          <w:sz w:val="24"/>
        </w:rPr>
        <w:t>.</w:t>
      </w:r>
    </w:p>
    <w:p w:rsidR="000D6FF6" w:rsidRPr="000D6FF6" w:rsidRDefault="000D6FF6" w:rsidP="004F2B32">
      <w:pPr>
        <w:spacing w:after="0"/>
        <w:contextualSpacing/>
        <w:jc w:val="both"/>
        <w:rPr>
          <w:sz w:val="8"/>
          <w:szCs w:val="8"/>
        </w:rPr>
      </w:pPr>
    </w:p>
    <w:p w:rsidR="000D6FF6" w:rsidRDefault="004F2B32" w:rsidP="004F2B32">
      <w:pPr>
        <w:spacing w:after="0"/>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9" w:history="1">
        <w:r w:rsidR="00306E7A" w:rsidRPr="00234922">
          <w:rPr>
            <w:rStyle w:val="Hyperlink"/>
            <w:sz w:val="24"/>
            <w:szCs w:val="24"/>
          </w:rPr>
          <w:t>www.afir.ro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w:t>
      </w:r>
    </w:p>
    <w:p w:rsidR="000D6FF6" w:rsidRDefault="000D6FF6" w:rsidP="004F2B32">
      <w:pPr>
        <w:spacing w:after="0"/>
        <w:jc w:val="both"/>
        <w:rPr>
          <w:sz w:val="24"/>
        </w:rPr>
      </w:pPr>
    </w:p>
    <w:p w:rsidR="004F2B32" w:rsidRDefault="004F2B32" w:rsidP="004F2B32">
      <w:pPr>
        <w:spacing w:after="0"/>
        <w:jc w:val="both"/>
        <w:rPr>
          <w:sz w:val="24"/>
        </w:rPr>
      </w:pPr>
      <w:r w:rsidRPr="002D2CD1">
        <w:rPr>
          <w:sz w:val="24"/>
        </w:rPr>
        <w:t xml:space="preserve">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4F2B32" w:rsidRPr="002D2CD1" w:rsidRDefault="004F2B32" w:rsidP="004F2B32">
      <w:pPr>
        <w:spacing w:after="0"/>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rsidR="004F2B32" w:rsidRDefault="004F2B32" w:rsidP="004F2B32">
      <w:pPr>
        <w:spacing w:after="0"/>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solicitantul are obligația să atașeze la Cererea de Finanțare o ofertă conformă pentru fiecare bun</w:t>
      </w:r>
      <w:r w:rsidR="000D6FF6">
        <w:rPr>
          <w:sz w:val="24"/>
        </w:rPr>
        <w:t xml:space="preserve"> </w:t>
      </w:r>
      <w:r w:rsidRPr="002D2CD1">
        <w:rPr>
          <w:sz w:val="24"/>
        </w:rPr>
        <w:t>/ serviciu bugetat a cărui valoare nu depășește 15.000 Euro și câte 2 oferte conforme pentru fiecare bun</w:t>
      </w:r>
      <w:r w:rsidR="000D6FF6">
        <w:rPr>
          <w:sz w:val="24"/>
        </w:rPr>
        <w:t xml:space="preserve"> </w:t>
      </w:r>
      <w:r w:rsidRPr="002D2CD1">
        <w:rPr>
          <w:sz w:val="24"/>
        </w:rPr>
        <w:t>/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4F2B32" w:rsidRPr="000D6FF6" w:rsidRDefault="004F2B32" w:rsidP="004F2B32">
      <w:pPr>
        <w:spacing w:after="0"/>
        <w:contextualSpacing/>
        <w:jc w:val="both"/>
        <w:rPr>
          <w:sz w:val="8"/>
          <w:szCs w:val="8"/>
        </w:rPr>
      </w:pPr>
    </w:p>
    <w:p w:rsidR="004F2B32" w:rsidRDefault="004F2B32" w:rsidP="004F2B32">
      <w:pPr>
        <w:spacing w:after="0"/>
        <w:contextualSpacing/>
        <w:jc w:val="both"/>
        <w:rPr>
          <w:sz w:val="24"/>
        </w:rPr>
      </w:pPr>
      <w:r>
        <w:rPr>
          <w:sz w:val="24"/>
        </w:rPr>
        <w:t>Pentru acțiunile de formare, costul pe participant nu va depăși 55 euro/persoană/zi, respectiv 103 euro/persoană/zi dacă acesta cuprinde și cheltuieli de cazare și transport.</w:t>
      </w:r>
    </w:p>
    <w:p w:rsidR="004F2B32" w:rsidRPr="000D6FF6" w:rsidRDefault="004F2B32" w:rsidP="004F2B32">
      <w:pPr>
        <w:spacing w:after="0"/>
        <w:contextualSpacing/>
        <w:jc w:val="both"/>
        <w:rPr>
          <w:sz w:val="8"/>
          <w:szCs w:val="8"/>
        </w:rPr>
      </w:pPr>
    </w:p>
    <w:p w:rsidR="004F2B32" w:rsidRDefault="004F2B32" w:rsidP="004F2B32">
      <w:pPr>
        <w:spacing w:after="0"/>
        <w:contextualSpacing/>
        <w:jc w:val="both"/>
        <w:rPr>
          <w:sz w:val="24"/>
        </w:rPr>
      </w:pPr>
      <w:r>
        <w:rPr>
          <w:sz w:val="24"/>
        </w:rPr>
        <w:t>Pentru acțiunile de informare, costul pe participant nu va depăși 60 euro/persoană/zi.</w:t>
      </w:r>
    </w:p>
    <w:p w:rsidR="004F2B32" w:rsidRPr="000D6FF6" w:rsidRDefault="004F2B32" w:rsidP="004F2B32">
      <w:pPr>
        <w:spacing w:after="0"/>
        <w:contextualSpacing/>
        <w:jc w:val="both"/>
        <w:rPr>
          <w:sz w:val="8"/>
          <w:szCs w:val="8"/>
        </w:rPr>
      </w:pPr>
    </w:p>
    <w:p w:rsidR="004F2B32" w:rsidRDefault="004F2B32" w:rsidP="004F2B32">
      <w:pPr>
        <w:spacing w:after="0"/>
        <w:contextualSpacing/>
        <w:jc w:val="both"/>
        <w:rPr>
          <w:sz w:val="24"/>
        </w:rPr>
      </w:pPr>
      <w:r>
        <w:rPr>
          <w:sz w:val="24"/>
        </w:rPr>
        <w:t xml:space="preserve">Pentru acțiunile de consiliere, costul pe participant nu va depăși 1500 euro. </w:t>
      </w:r>
    </w:p>
    <w:p w:rsidR="004F2B32" w:rsidRPr="000D6FF6" w:rsidRDefault="004F2B32" w:rsidP="004F2B32">
      <w:pPr>
        <w:spacing w:after="0"/>
        <w:contextualSpacing/>
        <w:jc w:val="both"/>
        <w:rPr>
          <w:sz w:val="16"/>
          <w:szCs w:val="16"/>
        </w:rPr>
      </w:pPr>
    </w:p>
    <w:p w:rsidR="004F2B32" w:rsidRDefault="000D6FF6" w:rsidP="004F2B32">
      <w:pPr>
        <w:spacing w:after="0"/>
        <w:contextualSpacing/>
        <w:jc w:val="both"/>
        <w:rPr>
          <w:b/>
          <w:sz w:val="24"/>
        </w:rPr>
      </w:pPr>
      <w:r>
        <w:rPr>
          <w:b/>
          <w:sz w:val="24"/>
        </w:rPr>
        <w:t xml:space="preserve">(3) </w:t>
      </w:r>
      <w:r w:rsidR="004F2B32" w:rsidRPr="002D2CD1">
        <w:rPr>
          <w:b/>
          <w:sz w:val="24"/>
        </w:rPr>
        <w:t>Cheltuieli neeligibile:</w:t>
      </w:r>
    </w:p>
    <w:p w:rsidR="004F2B32" w:rsidRDefault="004F2B32" w:rsidP="004F2B32">
      <w:pPr>
        <w:spacing w:after="0"/>
        <w:contextualSpacing/>
        <w:jc w:val="both"/>
        <w:rPr>
          <w:sz w:val="24"/>
        </w:rPr>
      </w:pPr>
      <w:r w:rsidRPr="0072481A">
        <w:rPr>
          <w:sz w:val="24"/>
        </w:rPr>
        <w:t>Nu sunt eligibile:</w:t>
      </w:r>
    </w:p>
    <w:p w:rsidR="004F2B32" w:rsidRDefault="004F2B32" w:rsidP="004F2B32">
      <w:pPr>
        <w:numPr>
          <w:ilvl w:val="0"/>
          <w:numId w:val="7"/>
        </w:numPr>
        <w:spacing w:after="0"/>
        <w:contextualSpacing/>
        <w:jc w:val="both"/>
        <w:rPr>
          <w:sz w:val="24"/>
        </w:rPr>
      </w:pPr>
      <w:r>
        <w:rPr>
          <w:sz w:val="24"/>
        </w:rPr>
        <w:t>cheltuielile cu investițiile;</w:t>
      </w:r>
    </w:p>
    <w:p w:rsidR="004F2B32" w:rsidRDefault="004F2B32" w:rsidP="004F2B32">
      <w:pPr>
        <w:numPr>
          <w:ilvl w:val="0"/>
          <w:numId w:val="7"/>
        </w:numPr>
        <w:spacing w:after="0"/>
        <w:contextualSpacing/>
        <w:jc w:val="both"/>
        <w:rPr>
          <w:sz w:val="24"/>
        </w:rPr>
      </w:pPr>
      <w:r>
        <w:rPr>
          <w:sz w:val="24"/>
        </w:rPr>
        <w:t>cheltuielile legate de cursuri de formare profesională finanțate prin alte programe;</w:t>
      </w:r>
    </w:p>
    <w:p w:rsidR="004F2B32" w:rsidRDefault="004F2B32" w:rsidP="004F2B32">
      <w:pPr>
        <w:numPr>
          <w:ilvl w:val="0"/>
          <w:numId w:val="7"/>
        </w:numPr>
        <w:spacing w:after="0"/>
        <w:contextualSpacing/>
        <w:jc w:val="both"/>
        <w:rPr>
          <w:sz w:val="24"/>
        </w:rPr>
      </w:pPr>
      <w:r>
        <w:rPr>
          <w:sz w:val="24"/>
        </w:rPr>
        <w:t xml:space="preserve">cheltuielile </w:t>
      </w:r>
      <w:r w:rsidRPr="005667AF">
        <w:rPr>
          <w:sz w:val="24"/>
        </w:rPr>
        <w:t xml:space="preserve"> pentru activitățile de informare</w:t>
      </w:r>
      <w:r w:rsidR="000D6FF6">
        <w:rPr>
          <w:sz w:val="24"/>
        </w:rPr>
        <w:t xml:space="preserve"> </w:t>
      </w:r>
      <w:r w:rsidRPr="005667AF">
        <w:rPr>
          <w:sz w:val="24"/>
        </w:rPr>
        <w:t xml:space="preserve">/ </w:t>
      </w:r>
      <w:r w:rsidRPr="00AA4E5A">
        <w:rPr>
          <w:sz w:val="24"/>
        </w:rPr>
        <w:t>promovare a vinurilor de calitate finanțate din fonduri F.E.G.A</w:t>
      </w:r>
      <w:r>
        <w:rPr>
          <w:sz w:val="24"/>
        </w:rPr>
        <w:t>;</w:t>
      </w:r>
      <w:r w:rsidRPr="00AA4E5A">
        <w:rPr>
          <w:sz w:val="24"/>
        </w:rPr>
        <w:t xml:space="preserve"> </w:t>
      </w:r>
    </w:p>
    <w:p w:rsidR="004F2B32" w:rsidRDefault="004F2B32" w:rsidP="004F2B32">
      <w:pPr>
        <w:numPr>
          <w:ilvl w:val="0"/>
          <w:numId w:val="7"/>
        </w:numPr>
        <w:spacing w:after="0"/>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rsidR="004F2B32" w:rsidRDefault="004F2B32" w:rsidP="004F2B32">
      <w:pPr>
        <w:numPr>
          <w:ilvl w:val="0"/>
          <w:numId w:val="7"/>
        </w:numPr>
        <w:spacing w:after="0"/>
        <w:contextualSpacing/>
        <w:jc w:val="both"/>
        <w:rPr>
          <w:sz w:val="24"/>
        </w:rPr>
      </w:pPr>
      <w:r>
        <w:rPr>
          <w:sz w:val="24"/>
        </w:rPr>
        <w:t>cheltuielile care nu servesc exclusiv obiectivelor proiectului.</w:t>
      </w:r>
    </w:p>
    <w:p w:rsidR="004F2B32" w:rsidRPr="007E1EEA" w:rsidRDefault="004F2B32" w:rsidP="007E1EEA">
      <w:pPr>
        <w:spacing w:after="0"/>
        <w:rPr>
          <w:sz w:val="8"/>
          <w:szCs w:val="8"/>
        </w:rPr>
      </w:pPr>
    </w:p>
    <w:p w:rsidR="007E1EEA" w:rsidRPr="003F58FC" w:rsidRDefault="007E1EEA" w:rsidP="00120F3C">
      <w:pPr>
        <w:spacing w:after="0" w:line="360" w:lineRule="auto"/>
        <w:rPr>
          <w:b/>
          <w:sz w:val="24"/>
          <w:szCs w:val="24"/>
        </w:rPr>
      </w:pPr>
      <w:r w:rsidRPr="003F58FC">
        <w:rPr>
          <w:b/>
          <w:sz w:val="24"/>
          <w:szCs w:val="24"/>
        </w:rPr>
        <w:t>(4)</w:t>
      </w:r>
      <w:r w:rsidRPr="003F58FC">
        <w:rPr>
          <w:sz w:val="24"/>
          <w:szCs w:val="24"/>
        </w:rPr>
        <w:t xml:space="preserve">  </w:t>
      </w:r>
      <w:r w:rsidRPr="003F58FC">
        <w:rPr>
          <w:b/>
          <w:color w:val="0070C0"/>
          <w:sz w:val="24"/>
          <w:szCs w:val="24"/>
        </w:rPr>
        <w:t>ATENȚIE!</w:t>
      </w:r>
      <w:r w:rsidRPr="003F58FC">
        <w:rPr>
          <w:sz w:val="24"/>
          <w:szCs w:val="24"/>
        </w:rPr>
        <w:t xml:space="preserve"> </w:t>
      </w:r>
      <w:r w:rsidRPr="003F58FC">
        <w:rPr>
          <w:b/>
          <w:sz w:val="24"/>
          <w:szCs w:val="24"/>
        </w:rPr>
        <w:t>Fundamentarea bugetară se va completa at</w:t>
      </w:r>
      <w:r w:rsidR="003F58FC" w:rsidRPr="003F58FC">
        <w:rPr>
          <w:b/>
          <w:sz w:val="24"/>
          <w:szCs w:val="24"/>
        </w:rPr>
        <w:t>â</w:t>
      </w:r>
      <w:r w:rsidRPr="003F58FC">
        <w:rPr>
          <w:b/>
          <w:sz w:val="24"/>
          <w:szCs w:val="24"/>
        </w:rPr>
        <w:t xml:space="preserve">t în Euro, cât și în Lei. </w:t>
      </w:r>
    </w:p>
    <w:p w:rsidR="007E1EEA" w:rsidRPr="003F58FC" w:rsidRDefault="00120F3C" w:rsidP="00120F3C">
      <w:pPr>
        <w:spacing w:after="0" w:line="360" w:lineRule="auto"/>
        <w:jc w:val="both"/>
        <w:rPr>
          <w:sz w:val="24"/>
          <w:szCs w:val="24"/>
        </w:rPr>
      </w:pPr>
      <w:r w:rsidRPr="003F58FC">
        <w:rPr>
          <w:sz w:val="24"/>
          <w:szCs w:val="24"/>
        </w:rPr>
        <w:t xml:space="preserve">       </w:t>
      </w:r>
      <w:r w:rsidR="007E1EEA" w:rsidRPr="003F58FC">
        <w:rPr>
          <w:sz w:val="24"/>
          <w:szCs w:val="24"/>
        </w:rPr>
        <w:t xml:space="preserve">Nu există un format impus al Fundamentării bugetare, iar următoarea variantă este orientativă. </w:t>
      </w:r>
    </w:p>
    <w:p w:rsidR="00120F3C" w:rsidRDefault="00120F3C" w:rsidP="00120F3C">
      <w:pPr>
        <w:spacing w:after="0"/>
        <w:jc w:val="both"/>
      </w:pPr>
    </w:p>
    <w:p w:rsidR="007E1EEA" w:rsidRDefault="007E1EEA" w:rsidP="007E1EEA">
      <w:pPr>
        <w:jc w:val="both"/>
      </w:pPr>
    </w:p>
    <w:p w:rsidR="007E1EEA" w:rsidRDefault="007E1EEA" w:rsidP="007E1EEA">
      <w:pPr>
        <w:jc w:val="both"/>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826"/>
        <w:gridCol w:w="647"/>
        <w:gridCol w:w="826"/>
        <w:gridCol w:w="647"/>
        <w:gridCol w:w="826"/>
        <w:gridCol w:w="647"/>
        <w:gridCol w:w="826"/>
        <w:gridCol w:w="647"/>
        <w:gridCol w:w="826"/>
        <w:gridCol w:w="647"/>
      </w:tblGrid>
      <w:tr w:rsidR="007E1EEA" w:rsidRPr="00E27D14" w:rsidTr="00120F3C">
        <w:trPr>
          <w:trHeight w:val="719"/>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rPr>
                <w:rFonts w:eastAsia="Times New Roman"/>
                <w:b/>
                <w:bCs/>
                <w:sz w:val="24"/>
                <w:szCs w:val="24"/>
              </w:rPr>
            </w:pPr>
            <w:r w:rsidRPr="0017028D">
              <w:rPr>
                <w:rFonts w:eastAsia="Times New Roman"/>
                <w:b/>
                <w:bCs/>
                <w:sz w:val="24"/>
                <w:szCs w:val="24"/>
              </w:rPr>
              <w:t>Denumirea capitolelor de cheltuieli</w:t>
            </w: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center"/>
              <w:rPr>
                <w:rFonts w:eastAsia="Times New Roman"/>
                <w:b/>
                <w:bCs/>
                <w:sz w:val="24"/>
                <w:szCs w:val="24"/>
              </w:rPr>
            </w:pPr>
            <w:r w:rsidRPr="0017028D">
              <w:rPr>
                <w:rFonts w:eastAsia="Times New Roman"/>
                <w:b/>
                <w:bCs/>
                <w:sz w:val="24"/>
                <w:szCs w:val="24"/>
              </w:rPr>
              <w:t>Cheltuieli</w:t>
            </w:r>
          </w:p>
          <w:p w:rsidR="007E1EEA" w:rsidRPr="0017028D" w:rsidRDefault="007E1EEA" w:rsidP="00120F3C">
            <w:pPr>
              <w:autoSpaceDE w:val="0"/>
              <w:autoSpaceDN w:val="0"/>
              <w:adjustRightInd w:val="0"/>
              <w:spacing w:after="0" w:line="240" w:lineRule="auto"/>
              <w:contextualSpacing/>
              <w:jc w:val="center"/>
              <w:rPr>
                <w:rFonts w:eastAsia="Times New Roman"/>
                <w:b/>
                <w:bCs/>
                <w:sz w:val="24"/>
                <w:szCs w:val="24"/>
              </w:rPr>
            </w:pPr>
            <w:r w:rsidRPr="0017028D">
              <w:rPr>
                <w:rFonts w:eastAsia="Times New Roman"/>
                <w:b/>
                <w:bCs/>
                <w:sz w:val="24"/>
                <w:szCs w:val="24"/>
              </w:rPr>
              <w:t>eligibile</w:t>
            </w: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center"/>
              <w:rPr>
                <w:rFonts w:eastAsia="Times New Roman"/>
                <w:b/>
                <w:bCs/>
                <w:sz w:val="24"/>
                <w:szCs w:val="24"/>
              </w:rPr>
            </w:pPr>
            <w:r w:rsidRPr="0017028D">
              <w:rPr>
                <w:rFonts w:eastAsia="Times New Roman"/>
                <w:b/>
                <w:bCs/>
                <w:sz w:val="24"/>
                <w:szCs w:val="24"/>
              </w:rPr>
              <w:t>Din care TVA</w:t>
            </w: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center"/>
              <w:rPr>
                <w:rFonts w:eastAsia="Times New Roman"/>
                <w:b/>
                <w:bCs/>
                <w:sz w:val="24"/>
                <w:szCs w:val="24"/>
              </w:rPr>
            </w:pPr>
            <w:r w:rsidRPr="0017028D">
              <w:rPr>
                <w:rFonts w:eastAsia="Times New Roman"/>
                <w:b/>
                <w:bCs/>
                <w:sz w:val="24"/>
                <w:szCs w:val="24"/>
              </w:rPr>
              <w:t>Cheltuieli neeligibile</w:t>
            </w: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center"/>
              <w:rPr>
                <w:rFonts w:eastAsia="Times New Roman"/>
                <w:b/>
                <w:bCs/>
                <w:sz w:val="24"/>
                <w:szCs w:val="24"/>
              </w:rPr>
            </w:pPr>
            <w:r w:rsidRPr="0017028D">
              <w:rPr>
                <w:rFonts w:eastAsia="Times New Roman"/>
                <w:b/>
                <w:bCs/>
                <w:sz w:val="24"/>
                <w:szCs w:val="24"/>
              </w:rPr>
              <w:t>Din care TVA</w:t>
            </w:r>
          </w:p>
        </w:tc>
        <w:tc>
          <w:tcPr>
            <w:tcW w:w="1473" w:type="dxa"/>
            <w:gridSpan w:val="2"/>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center"/>
              <w:rPr>
                <w:rFonts w:eastAsia="Times New Roman"/>
                <w:b/>
                <w:bCs/>
                <w:sz w:val="24"/>
                <w:szCs w:val="24"/>
              </w:rPr>
            </w:pPr>
            <w:r w:rsidRPr="0017028D">
              <w:rPr>
                <w:rFonts w:eastAsia="Times New Roman"/>
                <w:b/>
                <w:bCs/>
                <w:sz w:val="24"/>
                <w:szCs w:val="24"/>
              </w:rPr>
              <w:t>Total</w:t>
            </w:r>
          </w:p>
        </w:tc>
      </w:tr>
      <w:tr w:rsidR="007E1EEA" w:rsidRPr="00E27D14" w:rsidTr="00FC312E">
        <w:trPr>
          <w:trHeight w:val="135"/>
          <w:jc w:val="center"/>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spacing w:after="0" w:line="240" w:lineRule="auto"/>
              <w:rPr>
                <w:rFonts w:eastAsia="Times New Roman"/>
                <w:b/>
                <w:bCs/>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(Euro)</w:t>
            </w:r>
          </w:p>
        </w:tc>
        <w:tc>
          <w:tcPr>
            <w:tcW w:w="693"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(Lei)</w:t>
            </w:r>
          </w:p>
        </w:tc>
        <w:tc>
          <w:tcPr>
            <w:tcW w:w="826"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(Euro)</w:t>
            </w:r>
          </w:p>
        </w:tc>
        <w:tc>
          <w:tcPr>
            <w:tcW w:w="647"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(Lei)</w:t>
            </w:r>
          </w:p>
        </w:tc>
        <w:tc>
          <w:tcPr>
            <w:tcW w:w="826"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(Euro)</w:t>
            </w:r>
          </w:p>
        </w:tc>
        <w:tc>
          <w:tcPr>
            <w:tcW w:w="647"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(Lei)</w:t>
            </w:r>
          </w:p>
        </w:tc>
        <w:tc>
          <w:tcPr>
            <w:tcW w:w="826"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(Euro)</w:t>
            </w:r>
          </w:p>
        </w:tc>
        <w:tc>
          <w:tcPr>
            <w:tcW w:w="647"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(Lei)</w:t>
            </w:r>
          </w:p>
        </w:tc>
        <w:tc>
          <w:tcPr>
            <w:tcW w:w="826"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(Euro)</w:t>
            </w:r>
          </w:p>
        </w:tc>
        <w:tc>
          <w:tcPr>
            <w:tcW w:w="647" w:type="dxa"/>
            <w:tcBorders>
              <w:top w:val="single" w:sz="4" w:space="0" w:color="auto"/>
              <w:left w:val="single" w:sz="4" w:space="0" w:color="auto"/>
              <w:bottom w:val="single" w:sz="4" w:space="0" w:color="auto"/>
              <w:right w:val="single" w:sz="4" w:space="0" w:color="auto"/>
            </w:tcBorders>
            <w:vAlign w:val="center"/>
            <w:hideMark/>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r w:rsidRPr="0017028D">
              <w:rPr>
                <w:rFonts w:eastAsia="Times New Roman"/>
                <w:b/>
                <w:bCs/>
                <w:sz w:val="24"/>
                <w:szCs w:val="24"/>
              </w:rPr>
              <w:t>(Lei)</w:t>
            </w:r>
          </w:p>
        </w:tc>
      </w:tr>
      <w:tr w:rsidR="007E1EEA" w:rsidRPr="00E27D14" w:rsidTr="00FC312E">
        <w:trPr>
          <w:trHeight w:val="135"/>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rFonts w:eastAsia="Times New Roman"/>
                <w:b/>
                <w:bCs/>
              </w:rPr>
              <w:t xml:space="preserve">Cap. I Cheltuieli cu personalul </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2836"/>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spacing w:after="0" w:line="240" w:lineRule="auto"/>
              <w:rPr>
                <w:bCs/>
              </w:rPr>
            </w:pPr>
            <w:r w:rsidRPr="009007F1">
              <w:rPr>
                <w:bCs/>
              </w:rPr>
              <w:t>I.1. Cheltuieli cu personalul implicat in implementarea Proiectului</w:t>
            </w:r>
          </w:p>
          <w:p w:rsidR="007E1EEA" w:rsidRPr="009007F1" w:rsidRDefault="007E1EEA" w:rsidP="00120F3C">
            <w:pPr>
              <w:spacing w:after="0" w:line="240" w:lineRule="auto"/>
              <w:rPr>
                <w:bCs/>
              </w:rPr>
            </w:pPr>
            <w:r w:rsidRPr="009007F1">
              <w:rPr>
                <w:bCs/>
              </w:rPr>
              <w:t xml:space="preserve">-Salarii </w:t>
            </w:r>
            <w:r w:rsidR="003F58FC">
              <w:rPr>
                <w:bCs/>
              </w:rPr>
              <w:t>ș</w:t>
            </w:r>
            <w:r w:rsidRPr="009007F1">
              <w:rPr>
                <w:bCs/>
              </w:rPr>
              <w:t>i asimilate acestora</w:t>
            </w:r>
          </w:p>
          <w:p w:rsidR="007E1EEA" w:rsidRPr="009007F1" w:rsidRDefault="007E1EEA" w:rsidP="00120F3C">
            <w:pPr>
              <w:autoSpaceDE w:val="0"/>
              <w:autoSpaceDN w:val="0"/>
              <w:adjustRightInd w:val="0"/>
              <w:spacing w:after="0" w:line="240" w:lineRule="auto"/>
              <w:contextualSpacing/>
              <w:rPr>
                <w:rFonts w:eastAsia="Times New Roman"/>
                <w:bCs/>
              </w:rPr>
            </w:pPr>
            <w:r w:rsidRPr="009007F1">
              <w:rPr>
                <w:bCs/>
              </w:rPr>
              <w:t>-Contribu</w:t>
            </w:r>
            <w:r w:rsidR="003F58FC">
              <w:rPr>
                <w:bCs/>
              </w:rPr>
              <w:t>ț</w:t>
            </w:r>
            <w:r w:rsidRPr="009007F1">
              <w:rPr>
                <w:bCs/>
              </w:rPr>
              <w:t xml:space="preserve">ii   sociale        aferente cheltuielilor salariale </w:t>
            </w:r>
            <w:r w:rsidR="003F58FC">
              <w:rPr>
                <w:bCs/>
              </w:rPr>
              <w:t>ș</w:t>
            </w:r>
            <w:r w:rsidRPr="009007F1">
              <w:rPr>
                <w:bCs/>
              </w:rPr>
              <w:t>i cheltuielilor asimilate acestora</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135"/>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Cs/>
              </w:rPr>
            </w:pPr>
            <w:r w:rsidRPr="009007F1">
              <w:rPr>
                <w:bCs/>
              </w:rPr>
              <w:t>I.2. Cheltuieli aferente contractelor încheiate cu operatori economici – PFA/II</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439"/>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spacing w:after="0" w:line="240" w:lineRule="auto"/>
              <w:rPr>
                <w:bCs/>
              </w:rPr>
            </w:pPr>
            <w:r w:rsidRPr="009007F1">
              <w:rPr>
                <w:bCs/>
              </w:rPr>
              <w:t xml:space="preserve">I.3. Cheltuieli cu cazarea, transportul </w:t>
            </w:r>
            <w:r w:rsidR="003F58FC">
              <w:rPr>
                <w:bCs/>
              </w:rPr>
              <w:t>ș</w:t>
            </w:r>
            <w:r w:rsidRPr="009007F1">
              <w:rPr>
                <w:bCs/>
              </w:rPr>
              <w:t>i diurna</w:t>
            </w:r>
          </w:p>
          <w:p w:rsidR="007E1EEA" w:rsidRPr="009007F1" w:rsidRDefault="007E1EEA" w:rsidP="00120F3C">
            <w:pPr>
              <w:autoSpaceDE w:val="0"/>
              <w:autoSpaceDN w:val="0"/>
              <w:adjustRightInd w:val="0"/>
              <w:spacing w:after="0" w:line="240" w:lineRule="auto"/>
              <w:contextualSpacing/>
              <w:rPr>
                <w:rFonts w:eastAsia="Times New Roman"/>
                <w:bCs/>
              </w:rPr>
            </w:pPr>
            <w:r w:rsidRPr="009007F1">
              <w:rPr>
                <w:bCs/>
              </w:rPr>
              <w:t>personalului propriu angajat</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611"/>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rFonts w:eastAsia="Times New Roman"/>
                <w:b/>
              </w:rPr>
              <w:t>Cap. II Cheltuieli pentru derularea Proiectului</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169"/>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rFonts w:eastAsia="Times New Roman"/>
                <w:sz w:val="24"/>
                <w:szCs w:val="24"/>
              </w:rPr>
            </w:pPr>
            <w:r w:rsidRPr="00175882">
              <w:rPr>
                <w:bCs/>
              </w:rPr>
              <w:t>II.1. Cheltuieli cu</w:t>
            </w:r>
            <w:r w:rsidRPr="00175882">
              <w:t xml:space="preserve"> cazarea, masa şi transportul participanţilor</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961"/>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rFonts w:eastAsia="Times New Roman"/>
                <w:sz w:val="24"/>
                <w:szCs w:val="24"/>
              </w:rPr>
            </w:pPr>
            <w:r w:rsidRPr="00175882">
              <w:rPr>
                <w:bCs/>
              </w:rPr>
              <w:t>II.2. Cheltuieli cu materiale didactice şi consumabile pentru derularea activită</w:t>
            </w:r>
            <w:r w:rsidR="003F58FC">
              <w:rPr>
                <w:bCs/>
              </w:rPr>
              <w:t>ț</w:t>
            </w:r>
            <w:r w:rsidRPr="00175882">
              <w:rPr>
                <w:bCs/>
              </w:rPr>
              <w:t>ilor proiectului inclusiv editarea şi tipărirea acestora</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766"/>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rFonts w:eastAsia="Times New Roman"/>
                <w:sz w:val="24"/>
                <w:szCs w:val="24"/>
              </w:rPr>
            </w:pPr>
            <w:r w:rsidRPr="00175882">
              <w:rPr>
                <w:bCs/>
              </w:rPr>
              <w:t>II.3. Cheltuieli cu închirierea de echipamente necesare pentru derularea activită</w:t>
            </w:r>
            <w:r w:rsidR="003F58FC">
              <w:rPr>
                <w:bCs/>
              </w:rPr>
              <w:t>ț</w:t>
            </w:r>
            <w:r w:rsidRPr="00175882">
              <w:rPr>
                <w:bCs/>
              </w:rPr>
              <w:t>ilor Proiectului</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259"/>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120F3C" w:rsidRPr="00120F3C" w:rsidRDefault="007E1EEA" w:rsidP="00120F3C">
            <w:pPr>
              <w:autoSpaceDE w:val="0"/>
              <w:autoSpaceDN w:val="0"/>
              <w:adjustRightInd w:val="0"/>
              <w:spacing w:after="0" w:line="240" w:lineRule="auto"/>
              <w:contextualSpacing/>
              <w:rPr>
                <w:bCs/>
              </w:rPr>
            </w:pPr>
            <w:r w:rsidRPr="00175882">
              <w:rPr>
                <w:bCs/>
              </w:rPr>
              <w:lastRenderedPageBreak/>
              <w:t xml:space="preserve">II.4. Cheltuieli cu închirierea de spaţii pentru susţinerea </w:t>
            </w:r>
            <w:r w:rsidRPr="00D11802">
              <w:rPr>
                <w:bCs/>
              </w:rPr>
              <w:t>acţiunilor de formare</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088"/>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rFonts w:eastAsia="Times New Roman"/>
                <w:sz w:val="24"/>
                <w:szCs w:val="24"/>
              </w:rPr>
            </w:pPr>
            <w:r w:rsidRPr="00175882">
              <w:rPr>
                <w:bCs/>
              </w:rPr>
              <w:t xml:space="preserve">II.5. Cheltuieli de informare şi promovare aferente activităţilor Proiectului respectiv: </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872"/>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II.5.1. Cheltuieli cu materiale de publicitate şi informare</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719"/>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II.5.2. Cheltuieli aferente organizării de evenimente</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52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II.5.3. Cheltuieli privind organizarea de campanii de mediatizare şi conştientizare (mass-media)</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34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II.6 Costurile chiriei aferente spaţiului în care se desfăşoară managementul de proiect</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215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II.7. Cheltuieli privind informarea și publicitatea referitoare la proiect realizate conform prevederilor Reg. 808/2014 și contractului de finanțare – Anexa nr. VI</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908"/>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 xml:space="preserve">II.8. Cheltuieli cu închirierea de mijloace de transport - pentru personalul </w:t>
            </w:r>
            <w:r>
              <w:rPr>
                <w:bCs/>
              </w:rPr>
              <w:t>b</w:t>
            </w:r>
            <w:r w:rsidRPr="00175882">
              <w:rPr>
                <w:bCs/>
              </w:rPr>
              <w:t xml:space="preserve">eneficiarului; materiale/echipamente; logistică pentru derularea acțiunilor în cadrul </w:t>
            </w:r>
            <w:r>
              <w:rPr>
                <w:bCs/>
              </w:rPr>
              <w:t>p</w:t>
            </w:r>
            <w:r w:rsidRPr="00175882">
              <w:rPr>
                <w:bCs/>
              </w:rPr>
              <w:t>roiectului</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80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II.9. Cheltuieli generale de administraţie respectiv:</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169"/>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lastRenderedPageBreak/>
              <w:t>II.9.1.</w:t>
            </w:r>
            <w:r w:rsidRPr="00175882">
              <w:t xml:space="preserve"> </w:t>
            </w:r>
            <w:r w:rsidRPr="00175882">
              <w:rPr>
                <w:bCs/>
              </w:rPr>
              <w:t>Servicii de comunicaţii (internet, telefon, servicii poștale şi de curierat)</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134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II.9.2. Plata utilităţilor (energia electrică, apă, canalizare, salubritate, energie termică, gaze naturale)</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899"/>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II.10. Cheltuieli cu servicii de traducere și interpretariat</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962"/>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II.11. Cheltuieli de transport pentru materiale şi echipamente</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120F3C">
        <w:trPr>
          <w:trHeight w:val="692"/>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175882" w:rsidRDefault="007E1EEA" w:rsidP="00120F3C">
            <w:pPr>
              <w:autoSpaceDE w:val="0"/>
              <w:autoSpaceDN w:val="0"/>
              <w:adjustRightInd w:val="0"/>
              <w:spacing w:after="0" w:line="240" w:lineRule="auto"/>
              <w:contextualSpacing/>
              <w:rPr>
                <w:bCs/>
              </w:rPr>
            </w:pPr>
            <w:r w:rsidRPr="00175882">
              <w:rPr>
                <w:bCs/>
              </w:rPr>
              <w:t>II.12.</w:t>
            </w:r>
            <w:r w:rsidRPr="00175882">
              <w:t xml:space="preserve"> </w:t>
            </w:r>
            <w:r w:rsidRPr="00175882">
              <w:rPr>
                <w:bCs/>
              </w:rPr>
              <w:t>Cheltuieli cu plata auditorului</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885"/>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b/>
                <w:bCs/>
              </w:rPr>
              <w:t xml:space="preserve">TOTAL Valoare Eligibilă Proiect </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982"/>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b/>
                <w:bCs/>
              </w:rPr>
              <w:t xml:space="preserve">TOTAL Valoare Neeligibilă Proiect </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1124"/>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b/>
                <w:bCs/>
              </w:rPr>
              <w:t>TOTAL Valoare Proiect inclusiv cheltuieli neeligibile</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417"/>
          <w:jc w:val="center"/>
        </w:trPr>
        <w:tc>
          <w:tcPr>
            <w:tcW w:w="9756" w:type="dxa"/>
            <w:gridSpan w:val="11"/>
            <w:tcBorders>
              <w:top w:val="single" w:sz="4" w:space="0" w:color="auto"/>
              <w:left w:val="single" w:sz="4" w:space="0" w:color="auto"/>
              <w:bottom w:val="single" w:sz="4" w:space="0" w:color="auto"/>
              <w:right w:val="single" w:sz="4" w:space="0" w:color="auto"/>
            </w:tcBorders>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rFonts w:eastAsia="Times New Roman"/>
                <w:b/>
                <w:bCs/>
              </w:rPr>
              <w:t>PLANUL FINANCIAR</w:t>
            </w:r>
          </w:p>
        </w:tc>
      </w:tr>
      <w:tr w:rsidR="007E1EEA" w:rsidRPr="00E27D14" w:rsidTr="00FC312E">
        <w:trPr>
          <w:trHeight w:val="1372"/>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rFonts w:eastAsia="Times New Roman"/>
                <w:b/>
                <w:bCs/>
              </w:rPr>
              <w:t>Ajutor public nerambursabil (contribuție UE și cofinanțare națională)</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4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rFonts w:eastAsia="Times New Roman"/>
                <w:b/>
                <w:bCs/>
              </w:rPr>
              <w:t>Total Proiect</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r w:rsidR="007E1EEA" w:rsidRPr="00E27D14" w:rsidTr="00FC312E">
        <w:trPr>
          <w:trHeight w:val="14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7E1EEA" w:rsidRPr="009007F1" w:rsidRDefault="007E1EEA" w:rsidP="00120F3C">
            <w:pPr>
              <w:autoSpaceDE w:val="0"/>
              <w:autoSpaceDN w:val="0"/>
              <w:adjustRightInd w:val="0"/>
              <w:spacing w:after="0" w:line="240" w:lineRule="auto"/>
              <w:contextualSpacing/>
              <w:rPr>
                <w:rFonts w:eastAsia="Times New Roman"/>
                <w:b/>
                <w:bCs/>
              </w:rPr>
            </w:pPr>
            <w:r w:rsidRPr="009007F1">
              <w:rPr>
                <w:rFonts w:eastAsia="Times New Roman"/>
                <w:b/>
                <w:bCs/>
              </w:rPr>
              <w:t>Procent contribuție publică</w:t>
            </w:r>
          </w:p>
        </w:tc>
        <w:tc>
          <w:tcPr>
            <w:tcW w:w="780"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93"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7E1EEA" w:rsidRPr="0017028D" w:rsidRDefault="007E1EEA" w:rsidP="00120F3C">
            <w:pPr>
              <w:autoSpaceDE w:val="0"/>
              <w:autoSpaceDN w:val="0"/>
              <w:adjustRightInd w:val="0"/>
              <w:spacing w:after="0" w:line="240" w:lineRule="auto"/>
              <w:contextualSpacing/>
              <w:jc w:val="both"/>
              <w:rPr>
                <w:rFonts w:eastAsia="Times New Roman"/>
                <w:b/>
                <w:bCs/>
                <w:sz w:val="24"/>
                <w:szCs w:val="24"/>
              </w:rPr>
            </w:pPr>
          </w:p>
        </w:tc>
      </w:tr>
    </w:tbl>
    <w:p w:rsidR="007E1EEA" w:rsidRPr="005844E1" w:rsidRDefault="007E1EEA" w:rsidP="005844E1">
      <w:pPr>
        <w:spacing w:after="0"/>
        <w:jc w:val="both"/>
        <w:rPr>
          <w:sz w:val="16"/>
          <w:szCs w:val="16"/>
        </w:rPr>
      </w:pPr>
    </w:p>
    <w:p w:rsidR="005844E1" w:rsidRPr="0017028D" w:rsidRDefault="00E3439C" w:rsidP="00E3439C">
      <w:pPr>
        <w:autoSpaceDE w:val="0"/>
        <w:autoSpaceDN w:val="0"/>
        <w:adjustRightInd w:val="0"/>
        <w:spacing w:after="0"/>
        <w:ind w:left="-270" w:right="-270"/>
        <w:contextualSpacing/>
        <w:jc w:val="both"/>
        <w:rPr>
          <w:rFonts w:eastAsia="Times New Roman"/>
          <w:sz w:val="24"/>
          <w:szCs w:val="24"/>
        </w:rPr>
      </w:pPr>
      <w:r w:rsidRPr="00E3439C">
        <w:rPr>
          <w:rFonts w:eastAsia="Times New Roman"/>
          <w:b/>
          <w:sz w:val="24"/>
          <w:szCs w:val="24"/>
        </w:rPr>
        <w:t>NOTĂ:</w:t>
      </w:r>
      <w:r>
        <w:rPr>
          <w:rFonts w:eastAsia="Times New Roman"/>
          <w:sz w:val="24"/>
          <w:szCs w:val="24"/>
        </w:rPr>
        <w:t xml:space="preserve"> </w:t>
      </w:r>
      <w:r w:rsidR="005844E1" w:rsidRPr="0017028D">
        <w:rPr>
          <w:rFonts w:eastAsia="Times New Roman"/>
          <w:sz w:val="24"/>
          <w:szCs w:val="24"/>
        </w:rPr>
        <w:t xml:space="preserve">Cursul de schimb utilizat pentru completarea Bugetului </w:t>
      </w:r>
      <w:r w:rsidR="005844E1">
        <w:rPr>
          <w:rFonts w:eastAsia="Times New Roman"/>
          <w:sz w:val="24"/>
          <w:szCs w:val="24"/>
        </w:rPr>
        <w:t>p</w:t>
      </w:r>
      <w:r w:rsidR="005844E1" w:rsidRPr="0017028D">
        <w:rPr>
          <w:rFonts w:eastAsia="Times New Roman"/>
          <w:sz w:val="24"/>
          <w:szCs w:val="24"/>
        </w:rPr>
        <w:t xml:space="preserve">roiectului – Anexa nr. II la Contractul de </w:t>
      </w:r>
      <w:r w:rsidR="005844E1">
        <w:rPr>
          <w:rFonts w:eastAsia="Times New Roman"/>
          <w:sz w:val="24"/>
          <w:szCs w:val="24"/>
        </w:rPr>
        <w:t>f</w:t>
      </w:r>
      <w:r w:rsidR="005844E1" w:rsidRPr="0017028D">
        <w:rPr>
          <w:rFonts w:eastAsia="Times New Roman"/>
          <w:sz w:val="24"/>
          <w:szCs w:val="24"/>
        </w:rPr>
        <w:t>inanțare este cursul euro-leu al Băncii Central Europene (</w:t>
      </w:r>
      <w:hyperlink r:id="rId10" w:history="1">
        <w:r w:rsidR="005844E1" w:rsidRPr="0017028D">
          <w:rPr>
            <w:rFonts w:eastAsia="Times New Roman"/>
            <w:color w:val="0000FF"/>
            <w:sz w:val="24"/>
            <w:szCs w:val="24"/>
            <w:u w:val="single"/>
          </w:rPr>
          <w:t>www.ecb.int</w:t>
        </w:r>
      </w:hyperlink>
      <w:r w:rsidR="005844E1" w:rsidRPr="0017028D">
        <w:rPr>
          <w:rFonts w:eastAsia="Times New Roman"/>
          <w:color w:val="0000FF"/>
          <w:sz w:val="24"/>
          <w:szCs w:val="24"/>
          <w:u w:val="single"/>
        </w:rPr>
        <w:t>)</w:t>
      </w:r>
      <w:r w:rsidR="005844E1" w:rsidRPr="0017028D">
        <w:rPr>
          <w:rFonts w:eastAsia="Times New Roman"/>
          <w:sz w:val="24"/>
          <w:szCs w:val="24"/>
        </w:rPr>
        <w:t xml:space="preserve"> </w:t>
      </w:r>
      <w:r w:rsidR="005844E1" w:rsidRPr="0017028D">
        <w:rPr>
          <w:rFonts w:eastAsia="Arial Unicode MS"/>
          <w:bCs/>
          <w:kern w:val="32"/>
          <w:sz w:val="24"/>
          <w:szCs w:val="24"/>
          <w:lang w:eastAsia="ro-RO"/>
        </w:rPr>
        <w:t>valabil pentru data de 1 ianuarie a anului semnării Contractului de finanțare.</w:t>
      </w:r>
      <w:r>
        <w:rPr>
          <w:rFonts w:eastAsia="Arial Unicode MS"/>
          <w:bCs/>
          <w:kern w:val="32"/>
          <w:sz w:val="24"/>
          <w:szCs w:val="24"/>
          <w:lang w:eastAsia="ro-RO"/>
        </w:rPr>
        <w:t xml:space="preserve"> Cursul de schimb utilizat pentru completarea bugetului din Cererea de finanțare va fi cursul BCE de la data întocmirii acestuia.</w:t>
      </w:r>
    </w:p>
    <w:p w:rsidR="005844E1" w:rsidRPr="007E1EEA" w:rsidRDefault="005844E1" w:rsidP="007E1EEA">
      <w:pPr>
        <w:jc w:val="both"/>
      </w:pPr>
    </w:p>
    <w:sectPr w:rsidR="005844E1" w:rsidRPr="007E1EEA" w:rsidSect="00384D21">
      <w:headerReference w:type="default" r:id="rId11"/>
      <w:footerReference w:type="default" r:id="rId12"/>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32" w:rsidRDefault="000C2132" w:rsidP="004F2B32">
      <w:pPr>
        <w:spacing w:after="0" w:line="240" w:lineRule="auto"/>
      </w:pPr>
      <w:r>
        <w:separator/>
      </w:r>
    </w:p>
  </w:endnote>
  <w:endnote w:type="continuationSeparator" w:id="0">
    <w:p w:rsidR="000C2132" w:rsidRDefault="000C2132" w:rsidP="004F2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084157"/>
      <w:docPartObj>
        <w:docPartGallery w:val="Page Numbers (Bottom of Page)"/>
        <w:docPartUnique/>
      </w:docPartObj>
    </w:sdtPr>
    <w:sdtContent>
      <w:p w:rsidR="00384D21" w:rsidRDefault="001A5463" w:rsidP="00384D21">
        <w:pPr>
          <w:pStyle w:val="Footer"/>
          <w:jc w:val="right"/>
        </w:pPr>
        <w:r>
          <w:fldChar w:fldCharType="begin"/>
        </w:r>
        <w:r w:rsidR="00306E7A">
          <w:instrText xml:space="preserve"> PAGE   \* MERGEFORMAT </w:instrText>
        </w:r>
        <w:r>
          <w:fldChar w:fldCharType="separate"/>
        </w:r>
        <w:r w:rsidR="00306E7A">
          <w:rPr>
            <w:noProof/>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32" w:rsidRDefault="000C2132" w:rsidP="004F2B32">
      <w:pPr>
        <w:spacing w:after="0" w:line="240" w:lineRule="auto"/>
      </w:pPr>
      <w:r>
        <w:separator/>
      </w:r>
    </w:p>
  </w:footnote>
  <w:footnote w:type="continuationSeparator" w:id="0">
    <w:p w:rsidR="000C2132" w:rsidRDefault="000C2132" w:rsidP="004F2B32">
      <w:pPr>
        <w:spacing w:after="0" w:line="240" w:lineRule="auto"/>
      </w:pPr>
      <w:r>
        <w:continuationSeparator/>
      </w:r>
    </w:p>
  </w:footnote>
  <w:footnote w:id="1">
    <w:p w:rsidR="004F2B32" w:rsidRPr="0072481A" w:rsidRDefault="004F2B32" w:rsidP="004F2B32">
      <w:pPr>
        <w:pStyle w:val="FootnoteText"/>
        <w:rPr>
          <w:lang w:val="en-US"/>
        </w:rPr>
      </w:pPr>
      <w:r>
        <w:rPr>
          <w:rStyle w:val="FootnoteReference"/>
        </w:rPr>
        <w:footnoteRef/>
      </w:r>
      <w:r>
        <w:t xml:space="preserve"> Diurna se acordă în conformitate cu prevederile legislației în vigoare (Codul muncii, Codul fiscal, HG nr. 714/2018)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21" w:rsidRDefault="00384D21" w:rsidP="00384D21">
    <w:pPr>
      <w:pStyle w:val="Header"/>
    </w:pPr>
    <w:bookmarkStart w:id="0" w:name="_Hlk527712617"/>
    <w:r>
      <w:rPr>
        <w:noProof/>
        <w:lang w:val="en-US"/>
      </w:rPr>
      <w:drawing>
        <wp:anchor distT="0" distB="0" distL="114300" distR="114300" simplePos="0" relativeHeight="251663360" behindDoc="0" locked="0" layoutInCell="1" allowOverlap="1">
          <wp:simplePos x="0" y="0"/>
          <wp:positionH relativeFrom="column">
            <wp:posOffset>4773295</wp:posOffset>
          </wp:positionH>
          <wp:positionV relativeFrom="paragraph">
            <wp:posOffset>-37465</wp:posOffset>
          </wp:positionV>
          <wp:extent cx="1208405" cy="586740"/>
          <wp:effectExtent l="0" t="0" r="0" b="3810"/>
          <wp:wrapThrough wrapText="bothSides">
            <wp:wrapPolygon edited="0">
              <wp:start x="0" y="0"/>
              <wp:lineTo x="0" y="21039"/>
              <wp:lineTo x="21112" y="21039"/>
              <wp:lineTo x="21112" y="0"/>
              <wp:lineTo x="0" y="0"/>
            </wp:wrapPolygon>
          </wp:wrapThrough>
          <wp:docPr id="16" name="Picture 16" descr="C:\Users\Sorin\AppData\Local\Microsoft\Windows\INetCache\Content.Word\SIGLA GAL RE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2" descr="C:\Users\Sorin\AppData\Local\Microsoft\Windows\INetCache\Content.Word\SIGLA GAL REV3.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8405" cy="586740"/>
                  </a:xfrm>
                  <a:prstGeom prst="rect">
                    <a:avLst/>
                  </a:prstGeom>
                  <a:noFill/>
                  <a:ln>
                    <a:noFill/>
                  </a:ln>
                </pic:spPr>
              </pic:pic>
            </a:graphicData>
          </a:graphic>
        </wp:anchor>
      </w:drawing>
    </w:r>
    <w:r>
      <w:rPr>
        <w:noProof/>
        <w:lang w:val="en-US"/>
      </w:rPr>
      <w:drawing>
        <wp:anchor distT="0" distB="0" distL="114300" distR="114300" simplePos="0" relativeHeight="251662336" behindDoc="0" locked="0" layoutInCell="1" allowOverlap="1">
          <wp:simplePos x="0" y="0"/>
          <wp:positionH relativeFrom="column">
            <wp:posOffset>3676650</wp:posOffset>
          </wp:positionH>
          <wp:positionV relativeFrom="paragraph">
            <wp:posOffset>-37465</wp:posOffset>
          </wp:positionV>
          <wp:extent cx="817880" cy="548640"/>
          <wp:effectExtent l="0" t="0" r="1270" b="381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7880" cy="548640"/>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2943225</wp:posOffset>
          </wp:positionH>
          <wp:positionV relativeFrom="paragraph">
            <wp:posOffset>66675</wp:posOffset>
          </wp:positionV>
          <wp:extent cx="567055" cy="444500"/>
          <wp:effectExtent l="0" t="0" r="444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4"/>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055" cy="444500"/>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965835</wp:posOffset>
          </wp:positionH>
          <wp:positionV relativeFrom="paragraph">
            <wp:posOffset>-26670</wp:posOffset>
          </wp:positionV>
          <wp:extent cx="1777365" cy="58674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7365" cy="586740"/>
                  </a:xfrm>
                  <a:prstGeom prst="rect">
                    <a:avLst/>
                  </a:prstGeom>
                  <a:noFill/>
                  <a:ln>
                    <a:noFill/>
                  </a:ln>
                </pic:spPr>
              </pic:pic>
            </a:graphicData>
          </a:graphic>
        </wp:anchor>
      </w:drawing>
    </w:r>
    <w:r>
      <w:rPr>
        <w:noProof/>
        <w:lang w:val="en-US"/>
      </w:rPr>
      <w:drawing>
        <wp:anchor distT="0" distB="0" distL="114300" distR="114300" simplePos="0" relativeHeight="251661312" behindDoc="0" locked="0" layoutInCell="1" allowOverlap="1">
          <wp:simplePos x="0" y="0"/>
          <wp:positionH relativeFrom="column">
            <wp:posOffset>38100</wp:posOffset>
          </wp:positionH>
          <wp:positionV relativeFrom="paragraph">
            <wp:posOffset>-26670</wp:posOffset>
          </wp:positionV>
          <wp:extent cx="685800" cy="586740"/>
          <wp:effectExtent l="0" t="0" r="0" b="3810"/>
          <wp:wrapThrough wrapText="bothSides">
            <wp:wrapPolygon edited="0">
              <wp:start x="0" y="0"/>
              <wp:lineTo x="0" y="21039"/>
              <wp:lineTo x="21000" y="21039"/>
              <wp:lineTo x="21000"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5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586740"/>
                  </a:xfrm>
                  <a:prstGeom prst="rect">
                    <a:avLst/>
                  </a:prstGeom>
                  <a:noFill/>
                  <a:ln>
                    <a:noFill/>
                  </a:ln>
                </pic:spPr>
              </pic:pic>
            </a:graphicData>
          </a:graphic>
        </wp:anchor>
      </w:drawing>
    </w:r>
    <w:bookmarkEnd w:id="0"/>
  </w:p>
  <w:p w:rsidR="00384D21" w:rsidRDefault="00384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F2B32"/>
    <w:rsid w:val="000C2132"/>
    <w:rsid w:val="000D6FF6"/>
    <w:rsid w:val="00120F3C"/>
    <w:rsid w:val="00131AFE"/>
    <w:rsid w:val="001A5463"/>
    <w:rsid w:val="001F1178"/>
    <w:rsid w:val="00306E7A"/>
    <w:rsid w:val="00384D21"/>
    <w:rsid w:val="003F58FC"/>
    <w:rsid w:val="004F2B32"/>
    <w:rsid w:val="005844E1"/>
    <w:rsid w:val="00773678"/>
    <w:rsid w:val="007E1EEA"/>
    <w:rsid w:val="00872F12"/>
    <w:rsid w:val="008A4106"/>
    <w:rsid w:val="00A700EC"/>
    <w:rsid w:val="00D055E1"/>
    <w:rsid w:val="00E34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32"/>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F2B32"/>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F2B32"/>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4F2B32"/>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4F2B32"/>
    <w:rPr>
      <w:vertAlign w:val="superscript"/>
    </w:rPr>
  </w:style>
  <w:style w:type="paragraph" w:styleId="Header">
    <w:name w:val="header"/>
    <w:basedOn w:val="Normal"/>
    <w:link w:val="HeaderChar"/>
    <w:unhideWhenUsed/>
    <w:rsid w:val="00384D21"/>
    <w:pPr>
      <w:tabs>
        <w:tab w:val="center" w:pos="4680"/>
        <w:tab w:val="right" w:pos="9360"/>
      </w:tabs>
      <w:spacing w:after="0" w:line="240" w:lineRule="auto"/>
    </w:pPr>
  </w:style>
  <w:style w:type="character" w:customStyle="1" w:styleId="HeaderChar">
    <w:name w:val="Header Char"/>
    <w:basedOn w:val="DefaultParagraphFont"/>
    <w:link w:val="Header"/>
    <w:rsid w:val="00384D21"/>
    <w:rPr>
      <w:rFonts w:ascii="Calibri" w:eastAsia="Calibri" w:hAnsi="Calibri" w:cs="Times New Roman"/>
      <w:lang w:val="ro-RO"/>
    </w:rPr>
  </w:style>
  <w:style w:type="paragraph" w:styleId="Footer">
    <w:name w:val="footer"/>
    <w:basedOn w:val="Normal"/>
    <w:link w:val="FooterChar"/>
    <w:uiPriority w:val="99"/>
    <w:unhideWhenUsed/>
    <w:rsid w:val="0038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D21"/>
    <w:rPr>
      <w:rFonts w:ascii="Calibri" w:eastAsia="Calibri" w:hAnsi="Calibri" w:cs="Times New Roman"/>
      <w:lang w:val="ro-RO"/>
    </w:rPr>
  </w:style>
  <w:style w:type="paragraph" w:styleId="ListParagraph">
    <w:name w:val="List Paragraph"/>
    <w:basedOn w:val="Normal"/>
    <w:uiPriority w:val="34"/>
    <w:qFormat/>
    <w:rsid w:val="00384D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i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b.int" TargetMode="External"/><Relationship Id="rId4" Type="http://schemas.openxmlformats.org/officeDocument/2006/relationships/webSettings" Target="webSettings.xml"/><Relationship Id="rId9" Type="http://schemas.openxmlformats.org/officeDocument/2006/relationships/hyperlink" Target="http://www.afir.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2021-04-26T12:48:00Z</dcterms:created>
  <dcterms:modified xsi:type="dcterms:W3CDTF">2024-01-16T09:55:00Z</dcterms:modified>
</cp:coreProperties>
</file>