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FD" w:rsidRDefault="006B29FD">
      <w:pPr>
        <w:spacing w:after="0"/>
        <w:contextualSpacing/>
        <w:jc w:val="right"/>
        <w:rPr>
          <w:rFonts w:asciiTheme="minorHAnsi" w:hAnsiTheme="minorHAnsi" w:cstheme="minorHAnsi"/>
          <w:b/>
          <w:sz w:val="24"/>
          <w:szCs w:val="24"/>
        </w:rPr>
      </w:pPr>
      <w:bookmarkStart w:id="0" w:name="_GoBack"/>
      <w:bookmarkEnd w:id="0"/>
    </w:p>
    <w:p w:rsidR="00CD5CC5" w:rsidRDefault="00CD5CC5">
      <w:pPr>
        <w:spacing w:after="0"/>
        <w:contextualSpacing/>
        <w:jc w:val="right"/>
        <w:rPr>
          <w:rFonts w:asciiTheme="minorHAnsi" w:hAnsiTheme="minorHAnsi" w:cstheme="minorHAnsi"/>
          <w:b/>
          <w:sz w:val="24"/>
          <w:szCs w:val="24"/>
        </w:rPr>
      </w:pPr>
    </w:p>
    <w:p w:rsidR="00A20BCE" w:rsidRDefault="00EB63B6">
      <w:pPr>
        <w:spacing w:after="0"/>
        <w:contextualSpacing/>
        <w:jc w:val="right"/>
        <w:rPr>
          <w:rFonts w:asciiTheme="minorHAnsi" w:hAnsiTheme="minorHAnsi" w:cstheme="minorHAnsi"/>
          <w:b/>
          <w:sz w:val="24"/>
          <w:szCs w:val="24"/>
        </w:rPr>
      </w:pPr>
      <w:r w:rsidRPr="00EB63B6">
        <w:rPr>
          <w:rFonts w:asciiTheme="minorHAnsi" w:hAnsiTheme="minorHAnsi" w:cstheme="minorHAnsi"/>
          <w:b/>
          <w:sz w:val="24"/>
          <w:szCs w:val="24"/>
        </w:rPr>
        <w:t xml:space="preserve">Anexă la Cererea de finanțare </w:t>
      </w:r>
    </w:p>
    <w:p w:rsidR="00A20BCE" w:rsidRDefault="00A20BCE">
      <w:pPr>
        <w:spacing w:after="0"/>
        <w:contextualSpacing/>
        <w:jc w:val="right"/>
        <w:rPr>
          <w:rFonts w:asciiTheme="minorHAnsi" w:hAnsiTheme="minorHAnsi" w:cstheme="minorHAnsi"/>
          <w:b/>
          <w:sz w:val="24"/>
          <w:szCs w:val="24"/>
        </w:rPr>
      </w:pP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ANEXA 1.1</w:t>
      </w: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BUGET INDICATIV ȘI FUNDAMENTAREA BUGETULUI PE CATEGORII DE CHELTUIELI ELIGIBILE, CORELATE CU ACTIVITĂȚILE ȘI REZULTATELE PROIECTULUI</w:t>
      </w:r>
    </w:p>
    <w:p w:rsidR="00A20BCE" w:rsidRDefault="00A20BCE">
      <w:pPr>
        <w:spacing w:after="0"/>
        <w:contextualSpacing/>
        <w:rPr>
          <w:rFonts w:asciiTheme="minorHAnsi" w:hAnsiTheme="minorHAnsi" w:cstheme="minorHAnsi"/>
          <w:b/>
          <w:sz w:val="24"/>
          <w:szCs w:val="24"/>
        </w:rPr>
      </w:pPr>
    </w:p>
    <w:tbl>
      <w:tblPr>
        <w:tblW w:w="920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1260"/>
        <w:gridCol w:w="68"/>
        <w:gridCol w:w="1192"/>
        <w:gridCol w:w="923"/>
      </w:tblGrid>
      <w:tr w:rsidR="002A0001" w:rsidRPr="001E5796" w:rsidTr="00213D1D">
        <w:trPr>
          <w:trHeight w:val="929"/>
        </w:trPr>
        <w:tc>
          <w:tcPr>
            <w:tcW w:w="5760" w:type="dxa"/>
            <w:tcBorders>
              <w:top w:val="single" w:sz="4" w:space="0" w:color="auto"/>
              <w:left w:val="single" w:sz="4" w:space="0" w:color="auto"/>
              <w:bottom w:val="single" w:sz="4" w:space="0" w:color="auto"/>
              <w:right w:val="single" w:sz="4" w:space="0" w:color="auto"/>
            </w:tcBorders>
            <w:vAlign w:val="center"/>
            <w:hideMark/>
          </w:tcPr>
          <w:p w:rsidR="00250CF0" w:rsidRDefault="00EB63B6" w:rsidP="00213D1D">
            <w:pPr>
              <w:spacing w:after="0"/>
              <w:ind w:left="-175" w:firstLine="175"/>
              <w:contextualSpacing/>
              <w:jc w:val="both"/>
              <w:rPr>
                <w:rFonts w:asciiTheme="minorHAnsi" w:hAnsiTheme="minorHAnsi" w:cstheme="minorHAnsi"/>
                <w:b/>
                <w:sz w:val="24"/>
                <w:szCs w:val="24"/>
              </w:rPr>
            </w:pPr>
            <w:r w:rsidRPr="00EB63B6">
              <w:rPr>
                <w:rFonts w:asciiTheme="minorHAnsi" w:hAnsiTheme="minorHAnsi" w:cstheme="minorHAnsi"/>
                <w:b/>
                <w:sz w:val="24"/>
                <w:szCs w:val="24"/>
              </w:rPr>
              <w:t>Denumirea capitolelor de cheltuieli</w:t>
            </w:r>
          </w:p>
        </w:tc>
        <w:tc>
          <w:tcPr>
            <w:tcW w:w="12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Cheltuieli</w:t>
            </w: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eligibile</w:t>
            </w: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(Euro)</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Cheltuieli neeligibile</w:t>
            </w: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(Euro)</w:t>
            </w:r>
          </w:p>
        </w:tc>
        <w:tc>
          <w:tcPr>
            <w:tcW w:w="923"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Total</w:t>
            </w:r>
          </w:p>
          <w:p w:rsidR="00A20BCE" w:rsidRDefault="00EB63B6">
            <w:pPr>
              <w:spacing w:after="0"/>
              <w:contextualSpacing/>
              <w:jc w:val="center"/>
              <w:rPr>
                <w:rFonts w:asciiTheme="minorHAnsi" w:hAnsiTheme="minorHAnsi" w:cstheme="minorHAnsi"/>
                <w:b/>
                <w:sz w:val="24"/>
                <w:szCs w:val="24"/>
              </w:rPr>
            </w:pPr>
            <w:r w:rsidRPr="00EB63B6">
              <w:rPr>
                <w:rFonts w:asciiTheme="minorHAnsi" w:hAnsiTheme="minorHAnsi" w:cstheme="minorHAnsi"/>
                <w:b/>
                <w:sz w:val="24"/>
                <w:szCs w:val="24"/>
              </w:rPr>
              <w:t>(Euro)</w:t>
            </w:r>
          </w:p>
        </w:tc>
      </w:tr>
      <w:tr w:rsidR="002A0001" w:rsidRPr="001E5796" w:rsidTr="00213D1D">
        <w:trPr>
          <w:trHeight w:val="430"/>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CAP. I CHELTUIELI CU PERSONALUL </w:t>
            </w:r>
          </w:p>
        </w:tc>
        <w:tc>
          <w:tcPr>
            <w:tcW w:w="1260"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22"/>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CAP. II CHELTUIELILE PENTRU DERULAREA PROIECTULUI</w:t>
            </w:r>
          </w:p>
        </w:tc>
        <w:tc>
          <w:tcPr>
            <w:tcW w:w="1260"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TOTAL Valoare eligibilă proiect (fără TVA)</w:t>
            </w:r>
          </w:p>
        </w:tc>
        <w:tc>
          <w:tcPr>
            <w:tcW w:w="1260"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Valoare TVA</w:t>
            </w:r>
          </w:p>
        </w:tc>
        <w:tc>
          <w:tcPr>
            <w:tcW w:w="1260"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TOTAL valoare proiect, inclusiv TVA</w:t>
            </w:r>
          </w:p>
        </w:tc>
        <w:tc>
          <w:tcPr>
            <w:tcW w:w="3443" w:type="dxa"/>
            <w:gridSpan w:val="4"/>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9203" w:type="dxa"/>
            <w:gridSpan w:val="5"/>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b/>
                <w:sz w:val="24"/>
                <w:szCs w:val="24"/>
              </w:rPr>
            </w:pPr>
            <w:r w:rsidRPr="00EB63B6">
              <w:rPr>
                <w:rFonts w:asciiTheme="minorHAnsi" w:hAnsiTheme="minorHAnsi" w:cstheme="minorHAnsi"/>
                <w:b/>
                <w:sz w:val="24"/>
                <w:szCs w:val="24"/>
              </w:rPr>
              <w:t>PLANUL FINANCIAR</w:t>
            </w: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Ajutor public nerambursabil </w:t>
            </w:r>
          </w:p>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(contribuție UE și cofinanțare națională)</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Cofinanțare privată din care:</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pStyle w:val="ListParagraph"/>
              <w:numPr>
                <w:ilvl w:val="0"/>
                <w:numId w:val="6"/>
              </w:numPr>
              <w:spacing w:after="0"/>
              <w:jc w:val="both"/>
              <w:rPr>
                <w:rFonts w:asciiTheme="minorHAnsi" w:hAnsiTheme="minorHAnsi" w:cstheme="minorHAnsi"/>
                <w:sz w:val="24"/>
                <w:szCs w:val="24"/>
              </w:rPr>
            </w:pPr>
            <w:r w:rsidRPr="00EB63B6">
              <w:rPr>
                <w:rFonts w:asciiTheme="minorHAnsi" w:hAnsiTheme="minorHAnsi" w:cstheme="minorHAnsi"/>
                <w:sz w:val="24"/>
                <w:szCs w:val="24"/>
              </w:rPr>
              <w:t>autofinanțare</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pStyle w:val="ListParagraph"/>
              <w:numPr>
                <w:ilvl w:val="0"/>
                <w:numId w:val="6"/>
              </w:numPr>
              <w:spacing w:after="0"/>
              <w:jc w:val="both"/>
              <w:rPr>
                <w:rFonts w:asciiTheme="minorHAnsi" w:hAnsiTheme="minorHAnsi" w:cstheme="minorHAnsi"/>
                <w:sz w:val="24"/>
                <w:szCs w:val="24"/>
              </w:rPr>
            </w:pPr>
            <w:r w:rsidRPr="00EB63B6">
              <w:rPr>
                <w:rFonts w:asciiTheme="minorHAnsi" w:hAnsiTheme="minorHAnsi" w:cstheme="minorHAnsi"/>
                <w:sz w:val="24"/>
                <w:szCs w:val="24"/>
              </w:rPr>
              <w:t>împrumuturi</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VALOARE TOTALĂ PROIECT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r w:rsidR="002A0001" w:rsidRPr="001E5796" w:rsidTr="00213D1D">
        <w:trPr>
          <w:trHeight w:val="414"/>
        </w:trPr>
        <w:tc>
          <w:tcPr>
            <w:tcW w:w="5760" w:type="dxa"/>
            <w:tcBorders>
              <w:top w:val="single" w:sz="4" w:space="0" w:color="auto"/>
              <w:left w:val="single" w:sz="4" w:space="0" w:color="auto"/>
              <w:bottom w:val="single" w:sz="4" w:space="0" w:color="auto"/>
              <w:right w:val="single" w:sz="4" w:space="0" w:color="auto"/>
            </w:tcBorders>
            <w:vAlign w:val="center"/>
            <w:hideMark/>
          </w:tcPr>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Procent contribuție publică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center"/>
              <w:rPr>
                <w:rFonts w:asciiTheme="minorHAnsi" w:hAnsiTheme="minorHAnsi" w:cstheme="minorHAnsi"/>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A20BCE" w:rsidRDefault="00A20BCE">
            <w:pPr>
              <w:spacing w:after="0"/>
              <w:contextualSpacing/>
              <w:jc w:val="both"/>
              <w:rPr>
                <w:rFonts w:asciiTheme="minorHAnsi" w:hAnsiTheme="minorHAnsi" w:cstheme="minorHAnsi"/>
                <w:sz w:val="24"/>
                <w:szCs w:val="24"/>
              </w:rPr>
            </w:pPr>
          </w:p>
        </w:tc>
      </w:tr>
    </w:tbl>
    <w:p w:rsidR="00CD5CC5" w:rsidRDefault="00CD5CC5">
      <w:pPr>
        <w:spacing w:after="0"/>
        <w:contextualSpacing/>
        <w:jc w:val="both"/>
        <w:rPr>
          <w:rFonts w:asciiTheme="minorHAnsi" w:hAnsiTheme="minorHAnsi" w:cstheme="minorHAnsi"/>
          <w:sz w:val="20"/>
          <w:szCs w:val="20"/>
        </w:rPr>
      </w:pPr>
    </w:p>
    <w:p w:rsidR="00CD5CC5" w:rsidRPr="00A20BCE" w:rsidRDefault="00CD5CC5">
      <w:pPr>
        <w:spacing w:after="0"/>
        <w:contextualSpacing/>
        <w:jc w:val="both"/>
        <w:rPr>
          <w:rFonts w:asciiTheme="minorHAnsi" w:hAnsiTheme="minorHAnsi" w:cstheme="minorHAnsi"/>
          <w:sz w:val="20"/>
          <w:szCs w:val="20"/>
        </w:rPr>
      </w:pPr>
    </w:p>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Cursul de schimb EURO - RON utilizat la Contractul de finanţare este cursul euro-leu stabilit de către Banca Central Europeană, publicat pe pagina web </w:t>
      </w:r>
      <w:hyperlink r:id="rId7" w:history="1">
        <w:r w:rsidRPr="00EB63B6">
          <w:rPr>
            <w:rStyle w:val="Hyperlink"/>
            <w:rFonts w:asciiTheme="minorHAnsi" w:hAnsiTheme="minorHAnsi" w:cstheme="minorHAnsi"/>
            <w:sz w:val="24"/>
            <w:szCs w:val="24"/>
          </w:rPr>
          <w:t>http://www.ecb.int/index.html</w:t>
        </w:r>
      </w:hyperlink>
      <w:r w:rsidRPr="00EB63B6">
        <w:rPr>
          <w:rFonts w:asciiTheme="minorHAnsi" w:hAnsiTheme="minorHAnsi" w:cstheme="minorHAnsi"/>
          <w:sz w:val="24"/>
          <w:szCs w:val="24"/>
        </w:rPr>
        <w:t xml:space="preserve">, valabil la data de 01 ianuarie a anului în cursul căruia este luată decizia de acordare a ajutorului financiar nerambursabil, respectiv anul încheierii Contractului de finanțare. </w:t>
      </w:r>
    </w:p>
    <w:p w:rsidR="00A20BCE" w:rsidRPr="00A20BCE" w:rsidRDefault="00A20BCE">
      <w:pPr>
        <w:spacing w:after="0"/>
        <w:contextualSpacing/>
        <w:jc w:val="both"/>
        <w:rPr>
          <w:rFonts w:asciiTheme="minorHAnsi" w:hAnsiTheme="minorHAnsi" w:cstheme="minorHAnsi"/>
          <w:sz w:val="16"/>
          <w:szCs w:val="16"/>
        </w:rPr>
      </w:pPr>
    </w:p>
    <w:p w:rsidR="00A20BCE" w:rsidRDefault="00EB63B6">
      <w:pPr>
        <w:spacing w:after="0"/>
        <w:contextualSpacing/>
        <w:jc w:val="both"/>
        <w:rPr>
          <w:rFonts w:asciiTheme="minorHAnsi" w:hAnsiTheme="minorHAnsi" w:cstheme="minorHAnsi"/>
          <w:b/>
          <w:sz w:val="24"/>
          <w:szCs w:val="24"/>
        </w:rPr>
      </w:pPr>
      <w:r w:rsidRPr="00EB63B6">
        <w:rPr>
          <w:rFonts w:asciiTheme="minorHAnsi" w:hAnsiTheme="minorHAnsi" w:cstheme="minorHAnsi"/>
          <w:b/>
          <w:sz w:val="24"/>
          <w:szCs w:val="24"/>
        </w:rPr>
        <w:t xml:space="preserve">Cheltuielile eligibile: </w:t>
      </w:r>
    </w:p>
    <w:p w:rsidR="00A20BCE" w:rsidRPr="00A20BCE" w:rsidRDefault="00A20BCE">
      <w:pPr>
        <w:spacing w:after="0"/>
        <w:contextualSpacing/>
        <w:jc w:val="both"/>
        <w:rPr>
          <w:rFonts w:asciiTheme="minorHAnsi" w:hAnsiTheme="minorHAnsi" w:cstheme="minorHAnsi"/>
          <w:b/>
          <w:sz w:val="16"/>
          <w:szCs w:val="16"/>
        </w:rPr>
      </w:pPr>
    </w:p>
    <w:p w:rsidR="00A20BCE" w:rsidRDefault="00EB63B6">
      <w:pPr>
        <w:spacing w:after="0"/>
        <w:contextualSpacing/>
        <w:jc w:val="both"/>
        <w:rPr>
          <w:rFonts w:asciiTheme="minorHAnsi" w:hAnsiTheme="minorHAnsi" w:cstheme="minorHAnsi"/>
          <w:b/>
          <w:sz w:val="24"/>
          <w:szCs w:val="24"/>
        </w:rPr>
      </w:pPr>
      <w:r w:rsidRPr="00EB63B6">
        <w:rPr>
          <w:rFonts w:asciiTheme="minorHAnsi" w:hAnsiTheme="minorHAnsi" w:cstheme="minorHAnsi"/>
          <w:b/>
          <w:sz w:val="24"/>
          <w:szCs w:val="24"/>
        </w:rPr>
        <w:t xml:space="preserve">Pentru Cap I: </w:t>
      </w:r>
      <w:r w:rsidR="00924B57" w:rsidRPr="001215F3">
        <w:rPr>
          <w:rFonts w:asciiTheme="minorHAnsi" w:hAnsiTheme="minorHAnsi" w:cstheme="minorHAnsi"/>
          <w:sz w:val="24"/>
          <w:szCs w:val="24"/>
        </w:rPr>
        <w:t>CHELTUIELI CU PERSONALUL</w:t>
      </w:r>
    </w:p>
    <w:p w:rsidR="00A20BCE" w:rsidRDefault="00EB63B6">
      <w:pPr>
        <w:pStyle w:val="ListParagraph"/>
        <w:numPr>
          <w:ilvl w:val="0"/>
          <w:numId w:val="1"/>
        </w:numPr>
        <w:spacing w:after="0"/>
        <w:jc w:val="both"/>
        <w:rPr>
          <w:rFonts w:asciiTheme="minorHAnsi" w:hAnsiTheme="minorHAnsi" w:cstheme="minorHAnsi"/>
          <w:i/>
          <w:sz w:val="24"/>
          <w:szCs w:val="24"/>
        </w:rPr>
      </w:pPr>
      <w:r w:rsidRPr="00EB63B6">
        <w:rPr>
          <w:rFonts w:asciiTheme="minorHAnsi" w:hAnsiTheme="minorHAnsi" w:cstheme="minorHAnsi"/>
          <w:sz w:val="24"/>
          <w:szCs w:val="24"/>
        </w:rPr>
        <w:t xml:space="preserve">cheltuieli cu salariile și onorariile experților implicați în organizarea și realizarea proiectului (experți cheie, manager de proiect și alte categorii de  personal). </w:t>
      </w:r>
      <w:r w:rsidRPr="00EB63B6">
        <w:rPr>
          <w:rFonts w:asciiTheme="minorHAnsi" w:hAnsiTheme="minorHAnsi" w:cstheme="minorHAnsi"/>
          <w:i/>
          <w:sz w:val="24"/>
          <w:szCs w:val="24"/>
        </w:rPr>
        <w:t xml:space="preserve"> Experții cheie</w:t>
      </w:r>
      <w:r w:rsidRPr="00EB63B6">
        <w:rPr>
          <w:rFonts w:asciiTheme="minorHAnsi" w:hAnsiTheme="minorHAnsi" w:cstheme="minorHAnsi"/>
          <w:sz w:val="24"/>
          <w:szCs w:val="24"/>
        </w:rPr>
        <w:t xml:space="preserve"> sunt definiți ca experți care desfășoară activitatea direct legată de atingerea obiectivelor proiectului (de exemplu:</w:t>
      </w:r>
      <w:r w:rsidR="007A4525" w:rsidRPr="00EB63B6" w:rsidDel="007A4525">
        <w:rPr>
          <w:rFonts w:asciiTheme="minorHAnsi" w:hAnsiTheme="minorHAnsi" w:cstheme="minorHAnsi"/>
          <w:sz w:val="24"/>
          <w:szCs w:val="24"/>
        </w:rPr>
        <w:t xml:space="preserve"> </w:t>
      </w:r>
      <w:r w:rsidRPr="00EB63B6">
        <w:rPr>
          <w:rFonts w:asciiTheme="minorHAnsi" w:hAnsiTheme="minorHAnsi" w:cstheme="minorHAnsi"/>
          <w:sz w:val="24"/>
          <w:szCs w:val="24"/>
        </w:rPr>
        <w:t xml:space="preserve">xperți în domeniul dezvoltării comunitare) Aceste cheltuieli vor fi decontate experților, de către beneficiar, prin documentele </w:t>
      </w:r>
      <w:r w:rsidRPr="00EB63B6">
        <w:rPr>
          <w:rFonts w:asciiTheme="minorHAnsi" w:hAnsiTheme="minorHAnsi" w:cstheme="minorHAnsi"/>
          <w:sz w:val="24"/>
          <w:szCs w:val="24"/>
        </w:rPr>
        <w:lastRenderedPageBreak/>
        <w:t>de plată (ordin de plată), în baza contractelor încheiate cu aceștia, conform legislației în vigoare.</w:t>
      </w:r>
    </w:p>
    <w:p w:rsidR="00A20BCE" w:rsidRDefault="00EB63B6">
      <w:pPr>
        <w:numPr>
          <w:ilvl w:val="0"/>
          <w:numId w:val="1"/>
        </w:numPr>
        <w:spacing w:after="0"/>
        <w:ind w:left="360"/>
        <w:contextualSpacing/>
        <w:jc w:val="both"/>
        <w:rPr>
          <w:rFonts w:asciiTheme="minorHAnsi" w:hAnsiTheme="minorHAnsi" w:cstheme="minorHAnsi"/>
          <w:sz w:val="24"/>
          <w:szCs w:val="24"/>
        </w:rPr>
      </w:pPr>
      <w:bookmarkStart w:id="1" w:name="_Hlk36321309"/>
      <w:r w:rsidRPr="00EB63B6">
        <w:rPr>
          <w:rFonts w:asciiTheme="minorHAnsi" w:hAnsiTheme="minorHAnsi" w:cstheme="minorHAnsi"/>
          <w:sz w:val="24"/>
          <w:szCs w:val="24"/>
        </w:rPr>
        <w:t>cheltuieli privind transportul experților la acțiunile proiectului;</w:t>
      </w:r>
    </w:p>
    <w:p w:rsidR="00A20BCE" w:rsidRDefault="00EB63B6">
      <w:pPr>
        <w:numPr>
          <w:ilvl w:val="0"/>
          <w:numId w:val="1"/>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cheltuieli privind cazarea experților la acțiunile proiectului;</w:t>
      </w:r>
    </w:p>
    <w:p w:rsidR="00A20BCE" w:rsidRDefault="00EB63B6">
      <w:pPr>
        <w:numPr>
          <w:ilvl w:val="0"/>
          <w:numId w:val="1"/>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cheltuieli privind masa</w:t>
      </w:r>
      <w:r w:rsidR="006B29FD">
        <w:rPr>
          <w:rFonts w:asciiTheme="minorHAnsi" w:hAnsiTheme="minorHAnsi" w:cstheme="minorHAnsi"/>
          <w:sz w:val="24"/>
          <w:szCs w:val="24"/>
        </w:rPr>
        <w:t xml:space="preserve"> </w:t>
      </w:r>
      <w:r w:rsidRPr="00EB63B6">
        <w:rPr>
          <w:rFonts w:asciiTheme="minorHAnsi" w:hAnsiTheme="minorHAnsi" w:cstheme="minorHAnsi"/>
          <w:sz w:val="24"/>
          <w:szCs w:val="24"/>
        </w:rPr>
        <w:t>/ diurna</w:t>
      </w:r>
      <w:r w:rsidRPr="00EB63B6">
        <w:rPr>
          <w:rStyle w:val="FootnoteReference"/>
          <w:rFonts w:asciiTheme="minorHAnsi" w:hAnsiTheme="minorHAnsi" w:cstheme="minorHAnsi"/>
          <w:sz w:val="24"/>
          <w:szCs w:val="24"/>
        </w:rPr>
        <w:footnoteReference w:id="1"/>
      </w:r>
      <w:r w:rsidRPr="00EB63B6">
        <w:rPr>
          <w:rFonts w:asciiTheme="minorHAnsi" w:hAnsiTheme="minorHAnsi" w:cstheme="minorHAnsi"/>
          <w:sz w:val="24"/>
          <w:szCs w:val="24"/>
        </w:rPr>
        <w:t xml:space="preserve"> experților la acțiunile proiectului.</w:t>
      </w:r>
    </w:p>
    <w:p w:rsidR="00A20BCE" w:rsidRDefault="00EB63B6">
      <w:pPr>
        <w:spacing w:after="0"/>
        <w:jc w:val="both"/>
        <w:rPr>
          <w:rFonts w:asciiTheme="minorHAnsi" w:hAnsiTheme="minorHAnsi" w:cstheme="minorHAnsi"/>
          <w:sz w:val="24"/>
          <w:szCs w:val="24"/>
        </w:rPr>
      </w:pPr>
      <w:r w:rsidRPr="00EB63B6">
        <w:rPr>
          <w:rFonts w:asciiTheme="minorHAnsi" w:hAnsiTheme="minorHAnsi" w:cstheme="minorHAnsi"/>
          <w:sz w:val="24"/>
          <w:szCs w:val="24"/>
        </w:rPr>
        <w:t>Cheltuielile cu transportul, cazarea și masa/diurna sunt eligibile strict pe durata de desfășurare a acțiunilor proiectului la care participă experții.</w:t>
      </w:r>
      <w:bookmarkEnd w:id="1"/>
    </w:p>
    <w:p w:rsidR="00A20BCE" w:rsidRDefault="00A20BCE">
      <w:pPr>
        <w:spacing w:after="0"/>
        <w:contextualSpacing/>
        <w:jc w:val="both"/>
        <w:rPr>
          <w:rFonts w:asciiTheme="minorHAnsi" w:hAnsiTheme="minorHAnsi" w:cstheme="minorHAnsi"/>
          <w:sz w:val="16"/>
          <w:szCs w:val="16"/>
        </w:rPr>
      </w:pPr>
    </w:p>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Există două variante posibile pentru asigurarea personalului implicat în proiect:</w:t>
      </w:r>
    </w:p>
    <w:p w:rsidR="00A20BCE" w:rsidRDefault="00EB63B6">
      <w:pPr>
        <w:numPr>
          <w:ilvl w:val="0"/>
          <w:numId w:val="5"/>
        </w:numPr>
        <w:spacing w:after="0"/>
        <w:ind w:left="360" w:hanging="360"/>
        <w:contextualSpacing/>
        <w:jc w:val="both"/>
        <w:rPr>
          <w:rFonts w:asciiTheme="minorHAnsi" w:hAnsiTheme="minorHAnsi" w:cstheme="minorHAnsi"/>
          <w:i/>
          <w:iCs/>
          <w:sz w:val="24"/>
          <w:szCs w:val="24"/>
        </w:rPr>
      </w:pPr>
      <w:r w:rsidRPr="00EB63B6">
        <w:rPr>
          <w:rFonts w:asciiTheme="minorHAnsi" w:hAnsiTheme="minorHAnsi" w:cstheme="minorHAnsi"/>
          <w:sz w:val="24"/>
          <w:szCs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EB63B6">
        <w:rPr>
          <w:rFonts w:asciiTheme="minorHAnsi" w:hAnsiTheme="minorHAnsi" w:cstheme="minorHAnsi"/>
          <w:i/>
          <w:iCs/>
          <w:sz w:val="24"/>
          <w:szCs w:val="24"/>
        </w:rPr>
        <w:t xml:space="preserve">Pentru această categorie de personal sunt eligibile și cheltuielile cu transportul, cazarea și masa. </w:t>
      </w:r>
      <w:r w:rsidRPr="00EB63B6">
        <w:rPr>
          <w:rFonts w:asciiTheme="minorHAnsi" w:hAnsiTheme="minorHAnsi" w:cstheme="minorHAnsi"/>
          <w:sz w:val="24"/>
          <w:szCs w:val="24"/>
        </w:rPr>
        <w:t>Cheltuielile cu transportul, cazarea și masa/diurna sunt eligibile strict pe durata de desfășurare a acțiunilor proiectului la care participă experții.</w:t>
      </w:r>
    </w:p>
    <w:p w:rsidR="00B042E6" w:rsidRPr="00213D1D" w:rsidRDefault="00B042E6" w:rsidP="00213D1D">
      <w:pPr>
        <w:pStyle w:val="ListParagraph"/>
        <w:numPr>
          <w:ilvl w:val="0"/>
          <w:numId w:val="5"/>
        </w:numPr>
        <w:spacing w:after="0"/>
        <w:jc w:val="both"/>
        <w:rPr>
          <w:rFonts w:asciiTheme="minorHAnsi" w:hAnsiTheme="minorHAnsi" w:cstheme="minorHAnsi"/>
          <w:sz w:val="24"/>
          <w:szCs w:val="24"/>
        </w:rPr>
      </w:pPr>
      <w:r w:rsidRPr="00213D1D">
        <w:rPr>
          <w:rFonts w:asciiTheme="minorHAnsi" w:hAnsiTheme="minorHAnsi" w:cstheme="minorHAnsi"/>
          <w:sz w:val="24"/>
          <w:szCs w:val="24"/>
        </w:rPr>
        <w:t>Experții implicați în derularea proiectului în baza unor contracte de prestări servicii cu PFA/II, situație în care plata se va realiza pe bază de factură, aceasta reprezentând onorariul. În acest caz, modalitatea de plată a contribuțiilor către bugetul de stat este în responsabilitatea expertului care a prestat serviciul respectiv (PFA sau II).</w:t>
      </w:r>
      <w:r w:rsidRPr="00213D1D">
        <w:rPr>
          <w:rFonts w:asciiTheme="minorHAnsi" w:eastAsia="Times New Roman" w:hAnsiTheme="minorHAnsi" w:cstheme="minorHAnsi"/>
          <w:sz w:val="24"/>
          <w:szCs w:val="24"/>
        </w:rPr>
        <w:t xml:space="preserve"> Onorariile experților (plătite în baza contractelor de prestări de servicii) implicați în realizarea proiectului includ și cheltuielile de transport, cazare și masă.</w:t>
      </w:r>
      <w:r w:rsidRPr="00213D1D">
        <w:rPr>
          <w:rFonts w:asciiTheme="minorHAnsi" w:hAnsiTheme="minorHAnsi" w:cstheme="minorHAnsi"/>
          <w:sz w:val="24"/>
          <w:szCs w:val="24"/>
        </w:rPr>
        <w:t xml:space="preserve"> </w:t>
      </w:r>
    </w:p>
    <w:p w:rsidR="00B042E6" w:rsidRDefault="006A47B2" w:rsidP="00213D1D">
      <w:pPr>
        <w:spacing w:after="0"/>
        <w:ind w:left="360"/>
        <w:jc w:val="both"/>
        <w:rPr>
          <w:rFonts w:asciiTheme="minorHAnsi" w:hAnsiTheme="minorHAnsi" w:cstheme="minorHAnsi"/>
          <w:sz w:val="24"/>
          <w:szCs w:val="24"/>
        </w:rPr>
      </w:pPr>
      <w:r>
        <w:rPr>
          <w:rFonts w:asciiTheme="minorHAnsi" w:hAnsiTheme="minorHAnsi" w:cstheme="minorHAnsi"/>
          <w:sz w:val="24"/>
          <w:szCs w:val="24"/>
        </w:rPr>
        <w:t>ATENȚIE!</w:t>
      </w:r>
    </w:p>
    <w:p w:rsidR="00B042E6" w:rsidRPr="00213D1D" w:rsidRDefault="006A47B2" w:rsidP="00213D1D">
      <w:pPr>
        <w:spacing w:after="0"/>
        <w:ind w:left="360"/>
        <w:jc w:val="both"/>
        <w:rPr>
          <w:rFonts w:asciiTheme="minorHAnsi" w:hAnsiTheme="minorHAnsi" w:cstheme="minorHAnsi"/>
          <w:sz w:val="24"/>
          <w:szCs w:val="24"/>
        </w:rPr>
      </w:pPr>
      <w:r w:rsidRPr="008927DB">
        <w:rPr>
          <w:rFonts w:ascii="Arial" w:hAnsi="Arial" w:cs="Arial"/>
          <w:b/>
        </w:rPr>
        <w:t xml:space="preserve">Valoarea cheltuielilor eligibile prevăzute în bugetul proiectului la capitolul </w:t>
      </w:r>
      <w:r w:rsidRPr="008927DB">
        <w:rPr>
          <w:rFonts w:ascii="Arial" w:hAnsi="Arial" w:cs="Arial"/>
          <w:b/>
          <w:i/>
        </w:rPr>
        <w:t>Cheltuieli cu personalul</w:t>
      </w:r>
      <w:r w:rsidRPr="008927DB">
        <w:rPr>
          <w:rFonts w:ascii="Arial" w:hAnsi="Arial" w:cs="Arial"/>
          <w:b/>
        </w:rPr>
        <w:t xml:space="preserve"> </w:t>
      </w:r>
      <w:r>
        <w:rPr>
          <w:rFonts w:ascii="Arial" w:hAnsi="Arial" w:cs="Arial"/>
          <w:b/>
        </w:rPr>
        <w:t>trebuie să reprezinte</w:t>
      </w:r>
      <w:r w:rsidRPr="008927DB">
        <w:rPr>
          <w:rFonts w:ascii="Arial" w:hAnsi="Arial" w:cs="Arial"/>
          <w:b/>
        </w:rPr>
        <w:t xml:space="preserve"> mai puțin de 70% din bugetul total (suma nerambursabilă solicitată</w:t>
      </w:r>
      <w:r w:rsidRPr="008734C7">
        <w:rPr>
          <w:rFonts w:ascii="Arial" w:hAnsi="Arial" w:cs="Arial"/>
          <w:b/>
        </w:rPr>
        <w:t>)</w:t>
      </w:r>
      <w:r>
        <w:rPr>
          <w:rFonts w:ascii="Arial" w:hAnsi="Arial" w:cs="Arial"/>
          <w:b/>
        </w:rPr>
        <w:t xml:space="preserve"> al proiectului. În caz contrar, proiectul este neeligibil.</w:t>
      </w:r>
      <w:r w:rsidRPr="006A47B2">
        <w:rPr>
          <w:rFonts w:asciiTheme="minorHAnsi" w:hAnsiTheme="minorHAnsi" w:cstheme="minorHAnsi"/>
          <w:sz w:val="24"/>
          <w:szCs w:val="24"/>
        </w:rPr>
        <w:t xml:space="preserve"> </w:t>
      </w:r>
    </w:p>
    <w:p w:rsidR="00A20BCE" w:rsidRDefault="00A20BCE">
      <w:pPr>
        <w:spacing w:after="0"/>
        <w:ind w:left="360"/>
        <w:contextualSpacing/>
        <w:jc w:val="both"/>
        <w:rPr>
          <w:rFonts w:asciiTheme="minorHAnsi" w:hAnsiTheme="minorHAnsi" w:cstheme="minorHAnsi"/>
          <w:sz w:val="16"/>
          <w:szCs w:val="16"/>
        </w:rPr>
      </w:pPr>
    </w:p>
    <w:p w:rsidR="00A20BCE" w:rsidRDefault="00EB63B6">
      <w:pPr>
        <w:spacing w:after="0"/>
        <w:contextualSpacing/>
        <w:jc w:val="both"/>
        <w:rPr>
          <w:rFonts w:asciiTheme="minorHAnsi" w:eastAsia="Times New Roman" w:hAnsiTheme="minorHAnsi" w:cstheme="minorHAnsi"/>
          <w:sz w:val="24"/>
          <w:szCs w:val="24"/>
        </w:rPr>
      </w:pPr>
      <w:r w:rsidRPr="00EB63B6">
        <w:rPr>
          <w:rFonts w:asciiTheme="minorHAnsi" w:hAnsiTheme="minorHAnsi" w:cstheme="minorHAnsi"/>
          <w:sz w:val="24"/>
          <w:szCs w:val="24"/>
        </w:rPr>
        <w:t xml:space="preserve">Plafoanele prevăzute în Baza de date cu prețuri maximale pentru proiectele finanțate prin LEADER (postate pe </w:t>
      </w:r>
      <w:hyperlink r:id="rId8" w:history="1">
        <w:r w:rsidRPr="00EB63B6">
          <w:rPr>
            <w:rStyle w:val="Hyperlink"/>
            <w:rFonts w:asciiTheme="minorHAnsi" w:hAnsiTheme="minorHAnsi" w:cstheme="minorHAnsi"/>
            <w:sz w:val="24"/>
            <w:szCs w:val="24"/>
          </w:rPr>
          <w:t>www.afir.info</w:t>
        </w:r>
      </w:hyperlink>
      <w:r w:rsidRPr="00EB63B6">
        <w:rPr>
          <w:rFonts w:asciiTheme="minorHAnsi" w:hAnsiTheme="minorHAnsi" w:cstheme="minorHAnsi"/>
          <w:sz w:val="24"/>
          <w:szCs w:val="24"/>
        </w:rPr>
        <w:t xml:space="preserve">) cuprind costurile totale atât pentru salarii, cât și pentru onorarii pentru personalul implicat în proiect. Plafoanele prevăzute în Baza de date cu prețuri maximale pentru proiectele finanțate prin LEADER pentru salarii, respectiv onorarii pentru personalul implicat în proiect nu includ  </w:t>
      </w:r>
      <w:r w:rsidRPr="00EB63B6">
        <w:rPr>
          <w:rFonts w:asciiTheme="minorHAnsi" w:eastAsia="Times New Roman" w:hAnsiTheme="minorHAnsi" w:cstheme="minorHAnsi"/>
          <w:sz w:val="24"/>
          <w:szCs w:val="24"/>
        </w:rPr>
        <w:t xml:space="preserve">cheltuielile de transport, cazare și masă. </w:t>
      </w:r>
    </w:p>
    <w:p w:rsidR="00A20BCE" w:rsidRDefault="00A20BCE">
      <w:pPr>
        <w:spacing w:after="0"/>
        <w:contextualSpacing/>
        <w:jc w:val="both"/>
        <w:rPr>
          <w:rFonts w:asciiTheme="minorHAnsi" w:hAnsiTheme="minorHAnsi" w:cstheme="minorHAnsi"/>
          <w:sz w:val="16"/>
          <w:szCs w:val="16"/>
        </w:rPr>
      </w:pPr>
    </w:p>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Toate cheltuielile de mai sus necesită procedură de achiziții, cu excepția: </w:t>
      </w:r>
    </w:p>
    <w:p w:rsidR="00A20BCE" w:rsidRDefault="00EB63B6">
      <w:pPr>
        <w:numPr>
          <w:ilvl w:val="0"/>
          <w:numId w:val="2"/>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cheltuielilor cu plata personalului </w:t>
      </w:r>
      <w:r w:rsidRPr="00EB63B6">
        <w:rPr>
          <w:rFonts w:asciiTheme="minorHAnsi" w:eastAsia="Times New Roman" w:hAnsiTheme="minorHAnsi" w:cstheme="minorHAnsi"/>
          <w:sz w:val="24"/>
          <w:szCs w:val="24"/>
        </w:rPr>
        <w:t>implicat in proiect indiferent de forma de retribuire ;</w:t>
      </w:r>
    </w:p>
    <w:p w:rsidR="00A20BCE" w:rsidRPr="007A4525" w:rsidRDefault="00EB63B6" w:rsidP="007A4525">
      <w:pPr>
        <w:numPr>
          <w:ilvl w:val="0"/>
          <w:numId w:val="2"/>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cheltuielilor de cazare, atunci când nu se externalizează. </w:t>
      </w:r>
      <w:r w:rsidR="007A4525" w:rsidRPr="002D2CD1">
        <w:t xml:space="preserve">În acest caz, decontarea acestora se va realiza cu respectarea baremurilor impuse de HG nr. </w:t>
      </w:r>
      <w:r w:rsidR="007A4525">
        <w:t>714</w:t>
      </w:r>
      <w:r w:rsidR="007A4525" w:rsidRPr="002D2CD1">
        <w:t>/20</w:t>
      </w:r>
      <w:r w:rsidR="007A4525">
        <w:t>18</w:t>
      </w:r>
      <w:r w:rsidR="007A4525" w:rsidRPr="002D2CD1">
        <w:t xml:space="preserve">, privind drepturile şi </w:t>
      </w:r>
      <w:r w:rsidR="007A4525" w:rsidRPr="002D2CD1">
        <w:lastRenderedPageBreak/>
        <w:t>obligaţiile personalului autorităţilor şi instituţiilor publice pe perioada delegării şi detaşării în altă localitate, precum şi în cazul deplasării în interesul serviciului</w:t>
      </w:r>
      <w:r w:rsidR="007A4525">
        <w:t xml:space="preserve">; </w:t>
      </w:r>
      <w:r w:rsidR="007A4525">
        <w:rPr>
          <w:rFonts w:asciiTheme="minorHAnsi" w:hAnsiTheme="minorHAnsi" w:cstheme="minorHAnsi"/>
          <w:sz w:val="24"/>
          <w:szCs w:val="24"/>
        </w:rPr>
        <w:t xml:space="preserve"> </w:t>
      </w:r>
      <w:r w:rsidRPr="007A4525">
        <w:rPr>
          <w:rFonts w:asciiTheme="minorHAnsi" w:hAnsiTheme="minorHAnsi" w:cstheme="minorHAnsi"/>
          <w:sz w:val="24"/>
          <w:szCs w:val="24"/>
        </w:rPr>
        <w:t>cheltuielilor de transport, atunci când nu se externalizeaz</w:t>
      </w:r>
      <w:r w:rsidRPr="00EB63B6">
        <w:rPr>
          <w:rFonts w:asciiTheme="minorHAnsi" w:hAnsiTheme="minorHAnsi" w:cstheme="minorHAnsi"/>
          <w:sz w:val="24"/>
          <w:szCs w:val="24"/>
        </w:rPr>
        <w:t>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cadrul localităţii,</w:t>
      </w:r>
      <w:r w:rsidRPr="007A4525">
        <w:rPr>
          <w:rFonts w:asciiTheme="minorHAnsi" w:hAnsiTheme="minorHAnsi" w:cstheme="minorHAnsi"/>
          <w:sz w:val="24"/>
          <w:szCs w:val="24"/>
        </w:rPr>
        <w:t xml:space="preserve"> în interesul serviciului.</w:t>
      </w:r>
    </w:p>
    <w:p w:rsidR="006B29FD" w:rsidRPr="00213D1D" w:rsidRDefault="006B29FD">
      <w:pPr>
        <w:spacing w:after="0"/>
        <w:contextualSpacing/>
        <w:jc w:val="both"/>
        <w:rPr>
          <w:rFonts w:asciiTheme="minorHAnsi" w:hAnsiTheme="minorHAnsi" w:cstheme="minorHAnsi"/>
          <w:sz w:val="24"/>
          <w:szCs w:val="24"/>
        </w:rPr>
      </w:pPr>
    </w:p>
    <w:p w:rsidR="00A20BCE" w:rsidRPr="007A4525" w:rsidRDefault="00EB63B6">
      <w:pPr>
        <w:spacing w:after="0"/>
        <w:ind w:left="360"/>
        <w:contextualSpacing/>
        <w:jc w:val="both"/>
        <w:rPr>
          <w:rFonts w:asciiTheme="minorHAnsi" w:hAnsiTheme="minorHAnsi" w:cstheme="minorHAnsi"/>
          <w:b/>
          <w:sz w:val="24"/>
          <w:szCs w:val="24"/>
        </w:rPr>
      </w:pPr>
      <w:r w:rsidRPr="007A4525">
        <w:rPr>
          <w:rFonts w:asciiTheme="minorHAnsi" w:hAnsiTheme="minorHAnsi" w:cstheme="minorHAnsi"/>
          <w:b/>
          <w:sz w:val="24"/>
          <w:szCs w:val="24"/>
        </w:rPr>
        <w:t xml:space="preserve">Pentru Cap II </w:t>
      </w:r>
      <w:r w:rsidR="00924B57" w:rsidRPr="007A4525">
        <w:rPr>
          <w:rFonts w:asciiTheme="minorHAnsi" w:hAnsiTheme="minorHAnsi" w:cstheme="minorHAnsi"/>
          <w:sz w:val="24"/>
          <w:szCs w:val="24"/>
        </w:rPr>
        <w:t>CHELTUIELILE PENTRU DERULAREA PROIECTULUI</w:t>
      </w:r>
      <w:r w:rsidR="00924B57" w:rsidRPr="007A4525">
        <w:rPr>
          <w:rFonts w:asciiTheme="minorHAnsi" w:hAnsiTheme="minorHAnsi" w:cstheme="minorHAnsi"/>
          <w:b/>
          <w:sz w:val="24"/>
          <w:szCs w:val="24"/>
        </w:rPr>
        <w:t xml:space="preserve">  </w:t>
      </w:r>
      <w:r w:rsidRPr="007A4525">
        <w:rPr>
          <w:rFonts w:asciiTheme="minorHAnsi" w:hAnsiTheme="minorHAnsi" w:cstheme="minorHAnsi"/>
          <w:b/>
          <w:sz w:val="24"/>
          <w:szCs w:val="24"/>
        </w:rPr>
        <w:t>sunt eligibile:</w:t>
      </w:r>
    </w:p>
    <w:p w:rsidR="00A20BCE" w:rsidRPr="007A4525" w:rsidRDefault="00EB63B6">
      <w:pPr>
        <w:numPr>
          <w:ilvl w:val="0"/>
          <w:numId w:val="3"/>
        </w:numPr>
        <w:spacing w:after="0"/>
        <w:ind w:left="360"/>
        <w:contextualSpacing/>
        <w:jc w:val="both"/>
        <w:rPr>
          <w:rFonts w:asciiTheme="minorHAnsi" w:hAnsiTheme="minorHAnsi" w:cstheme="minorHAnsi"/>
          <w:sz w:val="24"/>
          <w:szCs w:val="24"/>
        </w:rPr>
      </w:pPr>
      <w:r w:rsidRPr="007A4525">
        <w:rPr>
          <w:rFonts w:asciiTheme="minorHAnsi" w:hAnsiTheme="minorHAnsi" w:cstheme="minorHAnsi"/>
          <w:sz w:val="24"/>
          <w:szCs w:val="24"/>
        </w:rPr>
        <w:t>cheltuieli privind transportul participanților la acțiunile proiectului;</w:t>
      </w:r>
    </w:p>
    <w:p w:rsidR="00A20BCE" w:rsidRPr="007A4525" w:rsidRDefault="00D034D7">
      <w:pPr>
        <w:numPr>
          <w:ilvl w:val="0"/>
          <w:numId w:val="3"/>
        </w:numPr>
        <w:spacing w:after="0"/>
        <w:ind w:left="360"/>
        <w:contextualSpacing/>
        <w:jc w:val="both"/>
        <w:rPr>
          <w:rFonts w:asciiTheme="minorHAnsi" w:hAnsiTheme="minorHAnsi" w:cstheme="minorHAnsi"/>
          <w:sz w:val="24"/>
          <w:szCs w:val="24"/>
        </w:rPr>
      </w:pPr>
      <w:r>
        <w:rPr>
          <w:rFonts w:asciiTheme="minorHAnsi" w:hAnsiTheme="minorHAnsi" w:cstheme="minorHAnsi"/>
          <w:sz w:val="24"/>
          <w:szCs w:val="24"/>
        </w:rPr>
        <w:t>cheltuieli privind cazarea participanților la acțiunile proiectului;</w:t>
      </w:r>
    </w:p>
    <w:p w:rsidR="00A20BCE" w:rsidRPr="007A4525" w:rsidRDefault="00D034D7">
      <w:pPr>
        <w:numPr>
          <w:ilvl w:val="0"/>
          <w:numId w:val="3"/>
        </w:numPr>
        <w:spacing w:after="0"/>
        <w:ind w:left="360"/>
        <w:contextualSpacing/>
        <w:jc w:val="both"/>
        <w:rPr>
          <w:rFonts w:asciiTheme="minorHAnsi" w:hAnsiTheme="minorHAnsi" w:cstheme="minorHAnsi"/>
          <w:sz w:val="24"/>
          <w:szCs w:val="24"/>
        </w:rPr>
      </w:pPr>
      <w:r>
        <w:rPr>
          <w:rFonts w:asciiTheme="minorHAnsi" w:hAnsiTheme="minorHAnsi" w:cstheme="minorHAnsi"/>
          <w:sz w:val="24"/>
          <w:szCs w:val="24"/>
        </w:rPr>
        <w:t xml:space="preserve">cheltuieli privind masa participanților la acțiunile proiectului; </w:t>
      </w:r>
    </w:p>
    <w:p w:rsidR="00A20BCE" w:rsidRDefault="00D034D7">
      <w:pPr>
        <w:numPr>
          <w:ilvl w:val="0"/>
          <w:numId w:val="3"/>
        </w:numPr>
        <w:spacing w:after="0"/>
        <w:ind w:left="360"/>
        <w:contextualSpacing/>
        <w:jc w:val="both"/>
        <w:rPr>
          <w:rFonts w:asciiTheme="minorHAnsi" w:hAnsiTheme="minorHAnsi" w:cstheme="minorHAnsi"/>
          <w:sz w:val="24"/>
          <w:szCs w:val="24"/>
        </w:rPr>
      </w:pPr>
      <w:r>
        <w:rPr>
          <w:rFonts w:asciiTheme="minorHAnsi" w:hAnsiTheme="minorHAnsi" w:cstheme="minorHAnsi"/>
          <w:sz w:val="24"/>
          <w:szCs w:val="24"/>
        </w:rPr>
        <w:t>cheltuieli pentru închirierea de spații adecvate pentru derularea activită</w:t>
      </w:r>
      <w:r w:rsidR="00EB63B6" w:rsidRPr="00EB63B6">
        <w:rPr>
          <w:rFonts w:asciiTheme="minorHAnsi" w:hAnsiTheme="minorHAnsi" w:cstheme="minorHAnsi"/>
          <w:sz w:val="24"/>
          <w:szCs w:val="24"/>
        </w:rPr>
        <w:t>ților proiectului;</w:t>
      </w:r>
    </w:p>
    <w:p w:rsidR="00A20BCE" w:rsidRDefault="00EB63B6">
      <w:pPr>
        <w:numPr>
          <w:ilvl w:val="0"/>
          <w:numId w:val="3"/>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cheltuieli pentru închirierea de echipamente și logistică pentru derularea acțiunilor în cadrul proiectului;</w:t>
      </w:r>
    </w:p>
    <w:p w:rsidR="00A20BCE" w:rsidRDefault="00EB63B6">
      <w:pPr>
        <w:numPr>
          <w:ilvl w:val="0"/>
          <w:numId w:val="3"/>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cheltuieli pentru achiziția de materiale didactice și/sau consumabile pentru derularea activităților proiectului; </w:t>
      </w:r>
    </w:p>
    <w:p w:rsidR="00A20BCE" w:rsidRDefault="00EB63B6">
      <w:pPr>
        <w:numPr>
          <w:ilvl w:val="0"/>
          <w:numId w:val="3"/>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cheltuieli cu materiale de informare și promovare utilizate în acțiunile proiectului (mape, bloc-notes, pix, pliante, broșuri, banner, editarea și tipărirea de materiale - geantă umăr, mapă de prezentare</w:t>
      </w:r>
      <w:r w:rsidRPr="00EB63B6">
        <w:rPr>
          <w:rFonts w:asciiTheme="minorHAnsi" w:eastAsia="Times New Roman" w:hAnsiTheme="minorHAnsi" w:cstheme="minorHAnsi"/>
          <w:sz w:val="24"/>
          <w:szCs w:val="24"/>
        </w:rPr>
        <w:t>, inclusiv pagina web, materiale audio și video, promovare plătită prin social media și alte rețele de publicitate, radio și televiziune, personalizare echipamente, personalizare auto, etc.</w:t>
      </w:r>
      <w:r w:rsidRPr="00EB63B6">
        <w:rPr>
          <w:rFonts w:asciiTheme="minorHAnsi" w:hAnsiTheme="minorHAnsi" w:cstheme="minorHAnsi"/>
          <w:sz w:val="24"/>
          <w:szCs w:val="24"/>
        </w:rPr>
        <w:t>);</w:t>
      </w:r>
    </w:p>
    <w:p w:rsidR="00A20BCE" w:rsidRDefault="00EB63B6">
      <w:pPr>
        <w:numPr>
          <w:ilvl w:val="0"/>
          <w:numId w:val="3"/>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cheltuieli cu plata auditorului;</w:t>
      </w:r>
    </w:p>
    <w:p w:rsidR="00A20BCE" w:rsidRDefault="00EB63B6">
      <w:pPr>
        <w:numPr>
          <w:ilvl w:val="0"/>
          <w:numId w:val="3"/>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alte cheltuieli pentru derularea proiectului (cheltuieli poștale, de telefonie, servicii de traducere și interpretare etc.).  </w:t>
      </w:r>
    </w:p>
    <w:p w:rsidR="00A20BCE" w:rsidRPr="00A20BCE" w:rsidRDefault="00A20BCE">
      <w:pPr>
        <w:spacing w:after="0"/>
        <w:ind w:left="360"/>
        <w:contextualSpacing/>
        <w:jc w:val="both"/>
        <w:rPr>
          <w:rFonts w:asciiTheme="minorHAnsi" w:hAnsiTheme="minorHAnsi" w:cstheme="minorHAnsi"/>
          <w:sz w:val="16"/>
          <w:szCs w:val="16"/>
        </w:rPr>
      </w:pPr>
    </w:p>
    <w:p w:rsidR="00A20BCE" w:rsidRPr="00A20BCE" w:rsidRDefault="00A20BCE">
      <w:pPr>
        <w:pStyle w:val="ListParagraph"/>
        <w:spacing w:after="0"/>
        <w:jc w:val="both"/>
        <w:rPr>
          <w:rFonts w:asciiTheme="minorHAnsi" w:hAnsiTheme="minorHAnsi" w:cstheme="minorHAnsi"/>
          <w:sz w:val="16"/>
          <w:szCs w:val="16"/>
        </w:rPr>
      </w:pPr>
    </w:p>
    <w:p w:rsidR="00A20BCE" w:rsidRDefault="00EB63B6">
      <w:pPr>
        <w:spacing w:after="0"/>
        <w:contextualSpacing/>
        <w:jc w:val="both"/>
        <w:rPr>
          <w:rFonts w:asciiTheme="minorHAnsi" w:hAnsiTheme="minorHAnsi" w:cstheme="minorHAnsi"/>
          <w:sz w:val="24"/>
          <w:szCs w:val="24"/>
        </w:rPr>
      </w:pPr>
      <w:r w:rsidRPr="00EB63B6">
        <w:rPr>
          <w:rFonts w:asciiTheme="minorHAnsi" w:hAnsiTheme="minorHAnsi" w:cstheme="minorHAnsi"/>
          <w:sz w:val="24"/>
          <w:szCs w:val="24"/>
        </w:rPr>
        <w:t>Toate cheltuielile de mai sus necesită procedură de achiziții, cu excepția:</w:t>
      </w:r>
    </w:p>
    <w:p w:rsidR="00A20BCE" w:rsidRDefault="00EB63B6">
      <w:pPr>
        <w:numPr>
          <w:ilvl w:val="0"/>
          <w:numId w:val="4"/>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cheltuielilor pentru închirierea de spații adecvate pentru derularea activităților proiectului (se realizează în baza unui Contract de închiriere, care nu necesită procedură de achiziții); </w:t>
      </w:r>
    </w:p>
    <w:p w:rsidR="00A20BCE" w:rsidRDefault="00EB63B6" w:rsidP="007A4525">
      <w:pPr>
        <w:numPr>
          <w:ilvl w:val="0"/>
          <w:numId w:val="4"/>
        </w:numPr>
        <w:spacing w:after="0"/>
        <w:ind w:left="360"/>
        <w:contextualSpacing/>
        <w:jc w:val="both"/>
        <w:rPr>
          <w:rFonts w:asciiTheme="minorHAnsi" w:hAnsiTheme="minorHAnsi" w:cstheme="minorHAnsi"/>
          <w:sz w:val="24"/>
          <w:szCs w:val="24"/>
        </w:rPr>
      </w:pPr>
      <w:r w:rsidRPr="00EB63B6">
        <w:rPr>
          <w:rFonts w:asciiTheme="minorHAnsi" w:hAnsiTheme="minorHAnsi" w:cstheme="minorHAnsi"/>
          <w:sz w:val="24"/>
          <w:szCs w:val="24"/>
        </w:rPr>
        <w:t xml:space="preserve">cheltuielilor de cazare, atunci când nu se externalizează. </w:t>
      </w:r>
      <w:r w:rsidR="007A4525" w:rsidRPr="002D2CD1">
        <w:t xml:space="preserve">În acest caz, decontarea acestora se va realiza cu respectarea baremurilor impuse de HG nr. </w:t>
      </w:r>
      <w:r w:rsidR="007A4525">
        <w:t>714</w:t>
      </w:r>
      <w:r w:rsidR="007A4525" w:rsidRPr="002D2CD1">
        <w:t>/20</w:t>
      </w:r>
      <w:r w:rsidR="007A4525">
        <w:t>18</w:t>
      </w:r>
      <w:r w:rsidR="007A4525" w:rsidRPr="002D2CD1">
        <w:t>, privind drepturile şi obligaţiile personalului autorităţilor şi instituţiilor publice pe perioada delegării şi detaşării în altă localitate, precum şi în cazul deplasării în interesul serviciului</w:t>
      </w:r>
      <w:r w:rsidR="007A4525">
        <w:t xml:space="preserve">;  </w:t>
      </w:r>
      <w:r w:rsidRPr="007A4525">
        <w:rPr>
          <w:rFonts w:asciiTheme="minorHAnsi" w:hAnsiTheme="minorHAnsi" w:cstheme="minorHAnsi"/>
          <w:sz w:val="24"/>
          <w:szCs w:val="24"/>
        </w:rPr>
        <w:t>cheltuielilor de transport, atunci când nu se externalizeaz</w:t>
      </w:r>
      <w:r w:rsidRPr="00EB63B6">
        <w:rPr>
          <w:rFonts w:asciiTheme="minorHAnsi" w:hAnsiTheme="minorHAnsi" w:cstheme="minorHAnsi"/>
          <w:sz w:val="24"/>
          <w:szCs w:val="24"/>
        </w:rPr>
        <w:t xml:space="preserve">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cadrul localităţii, </w:t>
      </w:r>
      <w:r w:rsidRPr="007A4525">
        <w:rPr>
          <w:rFonts w:asciiTheme="minorHAnsi" w:hAnsiTheme="minorHAnsi" w:cstheme="minorHAnsi"/>
          <w:sz w:val="24"/>
          <w:szCs w:val="24"/>
        </w:rPr>
        <w:t>în interesul serviciului;</w:t>
      </w:r>
    </w:p>
    <w:p w:rsidR="00A20BCE" w:rsidRPr="007A4525" w:rsidRDefault="00EB63B6">
      <w:pPr>
        <w:numPr>
          <w:ilvl w:val="0"/>
          <w:numId w:val="4"/>
        </w:numPr>
        <w:spacing w:after="0"/>
        <w:ind w:left="360"/>
        <w:contextualSpacing/>
        <w:rPr>
          <w:rFonts w:asciiTheme="minorHAnsi" w:hAnsiTheme="minorHAnsi" w:cstheme="minorHAnsi"/>
          <w:sz w:val="24"/>
          <w:szCs w:val="24"/>
        </w:rPr>
      </w:pPr>
      <w:r w:rsidRPr="007A4525">
        <w:rPr>
          <w:rFonts w:asciiTheme="minorHAnsi" w:hAnsiTheme="minorHAnsi" w:cstheme="minorHAnsi"/>
          <w:sz w:val="24"/>
          <w:szCs w:val="24"/>
        </w:rPr>
        <w:t>cheltuielilor poștale</w:t>
      </w:r>
      <w:r w:rsidR="007A4525">
        <w:rPr>
          <w:rFonts w:asciiTheme="minorHAnsi" w:hAnsiTheme="minorHAnsi" w:cstheme="minorHAnsi"/>
          <w:sz w:val="24"/>
          <w:szCs w:val="24"/>
        </w:rPr>
        <w:t xml:space="preserve"> și</w:t>
      </w:r>
      <w:r w:rsidRPr="007A4525">
        <w:rPr>
          <w:rFonts w:asciiTheme="minorHAnsi" w:hAnsiTheme="minorHAnsi" w:cstheme="minorHAnsi"/>
          <w:sz w:val="24"/>
          <w:szCs w:val="24"/>
        </w:rPr>
        <w:t>de curierat</w:t>
      </w:r>
      <w:r w:rsidRPr="007A4525">
        <w:rPr>
          <w:rFonts w:asciiTheme="minorHAnsi" w:eastAsia="Times New Roman" w:hAnsiTheme="minorHAnsi" w:cstheme="minorHAnsi"/>
          <w:sz w:val="24"/>
          <w:szCs w:val="24"/>
        </w:rPr>
        <w:t xml:space="preserve">. </w:t>
      </w:r>
    </w:p>
    <w:p w:rsidR="00A20BCE" w:rsidRPr="007A4525" w:rsidRDefault="00A20BCE">
      <w:pPr>
        <w:spacing w:after="0"/>
        <w:contextualSpacing/>
        <w:rPr>
          <w:rFonts w:asciiTheme="minorHAnsi" w:hAnsiTheme="minorHAnsi" w:cstheme="minorHAnsi"/>
          <w:sz w:val="24"/>
          <w:szCs w:val="24"/>
        </w:rPr>
      </w:pPr>
    </w:p>
    <w:p w:rsidR="00A20BCE" w:rsidRPr="007A4525" w:rsidRDefault="00D034D7">
      <w:pPr>
        <w:pStyle w:val="FootnoteText"/>
        <w:spacing w:line="276" w:lineRule="auto"/>
        <w:jc w:val="both"/>
        <w:rPr>
          <w:rFonts w:asciiTheme="minorHAnsi" w:hAnsiTheme="minorHAnsi" w:cstheme="minorHAnsi"/>
          <w:sz w:val="24"/>
          <w:szCs w:val="24"/>
        </w:rPr>
      </w:pPr>
      <w:r>
        <w:rPr>
          <w:rFonts w:asciiTheme="minorHAnsi" w:hAnsiTheme="minorHAnsi" w:cstheme="minorHAnsi"/>
          <w:b/>
          <w:sz w:val="24"/>
          <w:szCs w:val="24"/>
        </w:rPr>
        <w:t>ATENȚIE!</w:t>
      </w:r>
      <w:r>
        <w:rPr>
          <w:rFonts w:asciiTheme="minorHAnsi" w:hAnsiTheme="minorHAnsi" w:cstheme="minorHAnsi"/>
          <w:sz w:val="24"/>
          <w:szCs w:val="24"/>
        </w:rPr>
        <w:t xml:space="preserve"> La Bugetul indicativ se va atașa în mod obligatoriu o </w:t>
      </w:r>
      <w:r>
        <w:rPr>
          <w:rFonts w:asciiTheme="minorHAnsi" w:hAnsiTheme="minorHAnsi" w:cstheme="minorHAnsi"/>
          <w:b/>
          <w:sz w:val="24"/>
          <w:szCs w:val="24"/>
        </w:rPr>
        <w:t>fundamentare pe tipuri de cheltuieli eligibile corelate cu activitățile și rezultatele proiectulu</w:t>
      </w:r>
      <w:r>
        <w:rPr>
          <w:rFonts w:asciiTheme="minorHAnsi" w:hAnsiTheme="minorHAnsi" w:cstheme="minorHAnsi"/>
          <w:sz w:val="24"/>
          <w:szCs w:val="24"/>
        </w:rPr>
        <w:t>i.</w:t>
      </w:r>
    </w:p>
    <w:p w:rsidR="00250CF0" w:rsidRPr="00213D1D" w:rsidRDefault="00250CF0" w:rsidP="00213D1D">
      <w:pPr>
        <w:spacing w:after="0"/>
        <w:contextualSpacing/>
        <w:rPr>
          <w:rFonts w:asciiTheme="minorHAnsi" w:hAnsiTheme="minorHAnsi" w:cstheme="minorHAnsi"/>
          <w:sz w:val="24"/>
          <w:szCs w:val="24"/>
        </w:rPr>
      </w:pPr>
    </w:p>
    <w:p w:rsidR="00A20BCE" w:rsidRDefault="00EB63B6">
      <w:pPr>
        <w:pStyle w:val="ListParagraph"/>
        <w:numPr>
          <w:ilvl w:val="0"/>
          <w:numId w:val="4"/>
        </w:numPr>
        <w:jc w:val="both"/>
      </w:pPr>
      <w:r w:rsidRPr="007A4525">
        <w:rPr>
          <w:rFonts w:asciiTheme="minorHAnsi" w:hAnsiTheme="minorHAnsi" w:cstheme="minorHAnsi"/>
          <w:i/>
          <w:sz w:val="24"/>
          <w:szCs w:val="24"/>
        </w:rPr>
        <w:t>La realizarea Fundamentării bugetare pentru Cap. I</w:t>
      </w:r>
      <w:r w:rsidRPr="007A4525">
        <w:rPr>
          <w:rFonts w:asciiTheme="minorHAnsi" w:hAnsiTheme="minorHAnsi" w:cstheme="minorHAnsi"/>
          <w:sz w:val="24"/>
          <w:szCs w:val="24"/>
        </w:rPr>
        <w:t xml:space="preserve">, salariul / onorariul experților cheie se va calcula exclusiv pe durata efectiv prestată </w:t>
      </w:r>
      <w:r w:rsidRPr="00EB63B6">
        <w:rPr>
          <w:rFonts w:asciiTheme="minorHAnsi" w:hAnsiTheme="minorHAnsi" w:cstheme="minorHAnsi"/>
          <w:sz w:val="24"/>
          <w:szCs w:val="24"/>
        </w:rPr>
        <w:t xml:space="preserve">de experți în cadrul activităților specifice proiectului de servicii (zile lucrate), </w:t>
      </w:r>
      <w:r w:rsidR="007A4525">
        <w:rPr>
          <w:rFonts w:ascii="Arial" w:hAnsi="Arial" w:cs="Arial"/>
        </w:rPr>
        <w:t xml:space="preserve">care trebuie să facă parte din categoria activităților eligibile, așa cum sunt ele definite în Anexa 2 – Fișa măsurii M7. </w:t>
      </w:r>
      <w:r w:rsidRPr="00EB63B6">
        <w:rPr>
          <w:rFonts w:asciiTheme="minorHAnsi" w:hAnsiTheme="minorHAnsi" w:cstheme="minorHAnsi"/>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Pr="00EB63B6">
          <w:rPr>
            <w:rStyle w:val="Hyperlink"/>
            <w:rFonts w:asciiTheme="minorHAnsi" w:hAnsiTheme="minorHAnsi" w:cstheme="minorHAnsi"/>
            <w:sz w:val="24"/>
            <w:szCs w:val="24"/>
          </w:rPr>
          <w:t>www.afir.madr.ro</w:t>
        </w:r>
      </w:hyperlink>
      <w:r w:rsidRPr="00EB63B6">
        <w:rPr>
          <w:rStyle w:val="Hyperlink"/>
          <w:rFonts w:asciiTheme="minorHAnsi" w:hAnsiTheme="minorHAnsi" w:cstheme="minorHAnsi"/>
          <w:sz w:val="24"/>
          <w:szCs w:val="24"/>
        </w:rPr>
        <w:t xml:space="preserve"> sau www.afir.info</w:t>
      </w:r>
      <w:r w:rsidRPr="00EB63B6">
        <w:rPr>
          <w:rFonts w:asciiTheme="minorHAnsi" w:hAnsiTheme="minorHAnsi" w:cstheme="minorHAnsi"/>
          <w:sz w:val="24"/>
          <w:szCs w:val="24"/>
        </w:rPr>
        <w:t>. În cadrul acestei liste se regăsesc limitele maxime de preț pentru care se acceptă alocarea financiară pentru diferite categorii de servicii. Astfel, pentru stabilirea onorariului celorlalte categorii de experți implicate</w:t>
      </w:r>
      <w:r w:rsidR="007A4525">
        <w:rPr>
          <w:rFonts w:asciiTheme="minorHAnsi" w:hAnsiTheme="minorHAnsi" w:cstheme="minorHAnsi"/>
          <w:sz w:val="24"/>
          <w:szCs w:val="24"/>
        </w:rPr>
        <w:t xml:space="preserve"> </w:t>
      </w:r>
      <w:r w:rsidRPr="00EB63B6">
        <w:rPr>
          <w:rFonts w:asciiTheme="minorHAnsi" w:hAnsiTheme="minorHAnsi" w:cstheme="minorHAnsi"/>
          <w:sz w:val="24"/>
          <w:szCs w:val="24"/>
        </w:rPr>
        <w:t xml:space="preserve">în implementarea proiectului (în afara managerului de proiect și a experților cheie) se va consulta poziția „personal auxiliar”. Pentru stabilirea onorariului experților-cheie se va   consulta poziția „expert formator”. </w:t>
      </w:r>
    </w:p>
    <w:p w:rsidR="00A20BCE" w:rsidRDefault="00A20BCE">
      <w:pPr>
        <w:pStyle w:val="ListParagraph"/>
        <w:spacing w:after="0"/>
        <w:jc w:val="both"/>
        <w:rPr>
          <w:rFonts w:asciiTheme="minorHAnsi" w:hAnsiTheme="minorHAnsi" w:cstheme="minorHAnsi"/>
          <w:sz w:val="16"/>
          <w:szCs w:val="16"/>
        </w:rPr>
      </w:pPr>
    </w:p>
    <w:p w:rsidR="00ED5B14" w:rsidRDefault="00EB63B6" w:rsidP="001E5796">
      <w:pPr>
        <w:pStyle w:val="ListParagraph"/>
        <w:numPr>
          <w:ilvl w:val="0"/>
          <w:numId w:val="4"/>
        </w:numPr>
        <w:spacing w:after="0"/>
        <w:jc w:val="both"/>
        <w:rPr>
          <w:rFonts w:asciiTheme="minorHAnsi" w:hAnsiTheme="minorHAnsi" w:cstheme="minorHAnsi"/>
          <w:sz w:val="24"/>
          <w:szCs w:val="24"/>
        </w:rPr>
      </w:pPr>
      <w:r w:rsidRPr="00EB63B6">
        <w:rPr>
          <w:rFonts w:asciiTheme="minorHAnsi" w:hAnsiTheme="minorHAnsi" w:cstheme="minorHAnsi"/>
          <w:sz w:val="24"/>
          <w:szCs w:val="24"/>
        </w:rPr>
        <w:t>În cazul în care categoriile de bunuri / servicii bugetate nu se regăsesc în Baza de date (Tabelul centralizator al prețurilor maximale utilizate în cadrul proiectelor de servicii finanțate prin Măsura 19 LEADER a PNDR 2014-2020), precum și pentru toate categoriile de bunuri bugetate, solicitantul are obligația să atașeze la Cererea de Finanțare o ofertă conformă pentru fiecare bun / serviciu bugetat a cărui valoare nu depășește 15.000 Euro</w:t>
      </w:r>
      <w:r w:rsidR="007A4525">
        <w:rPr>
          <w:rFonts w:asciiTheme="minorHAnsi" w:hAnsiTheme="minorHAnsi" w:cstheme="minorHAnsi"/>
          <w:sz w:val="24"/>
          <w:szCs w:val="24"/>
        </w:rPr>
        <w:t>.</w:t>
      </w:r>
      <w:r w:rsidRPr="00EB63B6">
        <w:rPr>
          <w:rFonts w:asciiTheme="minorHAnsi" w:hAnsiTheme="minorHAnsi" w:cstheme="minorHAnsi"/>
          <w:sz w:val="24"/>
          <w:szCs w:val="24"/>
        </w:rPr>
        <w:t xml:space="preserve"> Toate cheltuielile realizate trebuie să fie rezonabile, justificate şi să corespundă principiilor unei bune gestionări financiare, în special din punct de vedere al raportului preţ-calitate şi al rentabilităţii.</w:t>
      </w:r>
    </w:p>
    <w:p w:rsidR="00A20BCE" w:rsidRDefault="00A20BCE">
      <w:pPr>
        <w:pStyle w:val="ListParagraph"/>
        <w:spacing w:after="0"/>
        <w:jc w:val="both"/>
        <w:rPr>
          <w:rFonts w:asciiTheme="minorHAnsi" w:hAnsiTheme="minorHAnsi" w:cstheme="minorHAnsi"/>
          <w:sz w:val="16"/>
          <w:szCs w:val="16"/>
        </w:rPr>
      </w:pPr>
    </w:p>
    <w:p w:rsidR="00A20BCE" w:rsidRPr="007A4525" w:rsidRDefault="00B042E6" w:rsidP="007A4525">
      <w:pPr>
        <w:numPr>
          <w:ilvl w:val="0"/>
          <w:numId w:val="4"/>
        </w:numPr>
        <w:spacing w:after="0"/>
        <w:contextualSpacing/>
        <w:jc w:val="both"/>
        <w:rPr>
          <w:rFonts w:asciiTheme="minorHAnsi" w:hAnsiTheme="minorHAnsi" w:cstheme="minorHAnsi"/>
          <w:sz w:val="24"/>
          <w:szCs w:val="24"/>
        </w:rPr>
      </w:pPr>
      <w:r w:rsidRPr="00213D1D">
        <w:rPr>
          <w:rFonts w:asciiTheme="minorHAnsi" w:hAnsiTheme="minorHAnsi" w:cstheme="minorHAnsi"/>
          <w:b/>
          <w:sz w:val="24"/>
          <w:szCs w:val="24"/>
        </w:rPr>
        <w:t>NOTĂ:</w:t>
      </w:r>
      <w:r w:rsidR="007A4525" w:rsidRPr="007A4525">
        <w:rPr>
          <w:rFonts w:asciiTheme="minorHAnsi" w:hAnsiTheme="minorHAnsi" w:cstheme="minorHAnsi"/>
          <w:sz w:val="24"/>
          <w:szCs w:val="24"/>
        </w:rPr>
        <w:t xml:space="preserve"> </w:t>
      </w:r>
      <w:r w:rsidR="00A20BCE" w:rsidRPr="007A4525">
        <w:rPr>
          <w:rFonts w:asciiTheme="minorHAnsi" w:hAnsiTheme="minorHAnsi" w:cstheme="minorHAnsi"/>
          <w:sz w:val="24"/>
          <w:szCs w:val="24"/>
        </w:rPr>
        <w:t xml:space="preserve">Taxa pe valoarea adăugată </w:t>
      </w:r>
      <w:r w:rsidR="00D034D7">
        <w:rPr>
          <w:rFonts w:asciiTheme="minorHAnsi" w:hAnsiTheme="minorHAnsi" w:cstheme="minorHAnsi"/>
          <w:sz w:val="24"/>
          <w:szCs w:val="24"/>
        </w:rPr>
        <w:t>(TVA) este neeligibilă, cu excepţia cazului în care aceasta nu se poate recupera în temeiul legislaţiei naţionale privind TVA-ul și a prevederilor specifice pentru instrumente financiare.</w:t>
      </w:r>
    </w:p>
    <w:p w:rsidR="00960DF7" w:rsidRDefault="00960DF7">
      <w:pPr>
        <w:spacing w:after="0"/>
        <w:contextualSpacing/>
        <w:jc w:val="both"/>
        <w:rPr>
          <w:rFonts w:asciiTheme="minorHAnsi" w:hAnsiTheme="minorHAnsi" w:cstheme="minorHAnsi"/>
          <w:sz w:val="20"/>
          <w:szCs w:val="20"/>
        </w:rPr>
      </w:pPr>
    </w:p>
    <w:p w:rsidR="00250CF0" w:rsidRDefault="00250CF0" w:rsidP="00213D1D">
      <w:pPr>
        <w:spacing w:before="120" w:after="120" w:line="240" w:lineRule="auto"/>
        <w:contextualSpacing/>
        <w:jc w:val="both"/>
        <w:rPr>
          <w:sz w:val="24"/>
        </w:rPr>
      </w:pPr>
    </w:p>
    <w:p w:rsidR="00703BFA" w:rsidRPr="00213D1D" w:rsidRDefault="00703BFA" w:rsidP="00703BFA">
      <w:pPr>
        <w:autoSpaceDE w:val="0"/>
        <w:autoSpaceDN w:val="0"/>
        <w:adjustRightInd w:val="0"/>
        <w:spacing w:line="360" w:lineRule="auto"/>
        <w:jc w:val="both"/>
        <w:rPr>
          <w:rFonts w:ascii="Arial" w:hAnsi="Arial" w:cs="Arial"/>
          <w:b/>
          <w:bCs/>
        </w:rPr>
      </w:pPr>
      <w:r>
        <w:rPr>
          <w:rFonts w:ascii="Arial" w:hAnsi="Arial" w:cs="Arial"/>
          <w:b/>
          <w:bCs/>
        </w:rPr>
        <w:t>CHELTUIELI NEELIGIBILE</w:t>
      </w:r>
    </w:p>
    <w:p w:rsidR="00703BFA" w:rsidRPr="00F443D0" w:rsidRDefault="00703BFA" w:rsidP="00703BFA">
      <w:pPr>
        <w:autoSpaceDE w:val="0"/>
        <w:autoSpaceDN w:val="0"/>
        <w:adjustRightInd w:val="0"/>
        <w:spacing w:line="360" w:lineRule="auto"/>
        <w:jc w:val="both"/>
        <w:rPr>
          <w:rFonts w:ascii="Arial" w:hAnsi="Arial" w:cs="Arial"/>
          <w:bCs/>
          <w:i/>
        </w:rPr>
      </w:pPr>
      <w:r w:rsidRPr="00F443D0">
        <w:rPr>
          <w:rFonts w:ascii="Arial" w:hAnsi="Arial" w:cs="Arial"/>
          <w:bCs/>
          <w:i/>
        </w:rPr>
        <w:t>Este neeligibilă orice tip de acțiune care nu concordă cu obiectivele specifice ale măsurii.</w:t>
      </w:r>
    </w:p>
    <w:p w:rsidR="00703BFA" w:rsidRPr="00F443D0" w:rsidRDefault="00703BFA" w:rsidP="00703BFA">
      <w:pPr>
        <w:autoSpaceDE w:val="0"/>
        <w:autoSpaceDN w:val="0"/>
        <w:adjustRightInd w:val="0"/>
        <w:spacing w:line="360" w:lineRule="auto"/>
        <w:jc w:val="both"/>
        <w:rPr>
          <w:rFonts w:ascii="Arial" w:hAnsi="Arial" w:cs="Arial"/>
        </w:rPr>
      </w:pPr>
      <w:r w:rsidRPr="00F443D0">
        <w:rPr>
          <w:rFonts w:ascii="Arial" w:hAnsi="Arial" w:cs="Arial"/>
          <w:bCs/>
        </w:rPr>
        <w:t xml:space="preserve">Stabilirea cheltuielilor neeligibile respectă regulamentele europene relevante </w:t>
      </w:r>
      <w:r w:rsidRPr="00F443D0">
        <w:rPr>
          <w:rFonts w:ascii="Arial" w:hAnsi="Arial" w:cs="Arial"/>
        </w:rPr>
        <w:t>[Reg. (UE) nr. 1303/2013; Reg. (UE) nr. 1305/2013; Reg. (UE) nr. 807/2014]</w:t>
      </w:r>
      <w:r w:rsidRPr="00F443D0">
        <w:rPr>
          <w:rFonts w:ascii="Arial" w:hAnsi="Arial" w:cs="Arial"/>
          <w:bCs/>
        </w:rPr>
        <w:t xml:space="preserve">, </w:t>
      </w:r>
      <w:r w:rsidRPr="00F443D0">
        <w:rPr>
          <w:rFonts w:ascii="Arial" w:hAnsi="Arial" w:cs="Arial"/>
        </w:rPr>
        <w:t xml:space="preserve">Cap.8.1 din PNDR 2014-2020, HG nr. 226/2015 și fișa tehnică și </w:t>
      </w:r>
      <w:r w:rsidRPr="00F443D0">
        <w:rPr>
          <w:rFonts w:ascii="Arial" w:hAnsi="Arial" w:cs="Arial"/>
          <w:bCs/>
        </w:rPr>
        <w:t>cadrul procedural de implementare a Sm 19.2.</w:t>
      </w:r>
    </w:p>
    <w:p w:rsidR="00703BFA" w:rsidRPr="00F443D0" w:rsidRDefault="00703BFA" w:rsidP="00703BFA">
      <w:pPr>
        <w:spacing w:line="360" w:lineRule="auto"/>
        <w:jc w:val="both"/>
        <w:rPr>
          <w:rFonts w:ascii="Arial" w:hAnsi="Arial" w:cs="Arial"/>
        </w:rPr>
      </w:pPr>
      <w:r w:rsidRPr="00F443D0">
        <w:rPr>
          <w:rFonts w:ascii="Arial" w:hAnsi="Arial" w:cs="Arial"/>
        </w:rPr>
        <w:t xml:space="preserve">Prin măsura M7/1B/6B sunt </w:t>
      </w:r>
      <w:r w:rsidRPr="00F443D0">
        <w:rPr>
          <w:rFonts w:ascii="Arial" w:hAnsi="Arial" w:cs="Arial"/>
          <w:b/>
          <w:i/>
        </w:rPr>
        <w:t>acțiuni și cheltuieli neeligibile</w:t>
      </w:r>
      <w:r w:rsidRPr="00F443D0">
        <w:rPr>
          <w:rFonts w:ascii="Arial" w:hAnsi="Arial" w:cs="Arial"/>
        </w:rPr>
        <w:t>:</w:t>
      </w:r>
    </w:p>
    <w:p w:rsidR="00703BFA" w:rsidRPr="00F443D0" w:rsidRDefault="00703BFA" w:rsidP="00703BFA">
      <w:pPr>
        <w:numPr>
          <w:ilvl w:val="0"/>
          <w:numId w:val="11"/>
        </w:numPr>
        <w:spacing w:after="0" w:line="360" w:lineRule="auto"/>
        <w:ind w:left="426" w:hanging="426"/>
        <w:jc w:val="both"/>
        <w:rPr>
          <w:rFonts w:ascii="Arial" w:hAnsi="Arial" w:cs="Arial"/>
        </w:rPr>
      </w:pPr>
      <w:r w:rsidRPr="00F443D0">
        <w:rPr>
          <w:rFonts w:ascii="Arial" w:hAnsi="Arial" w:cs="Arial"/>
        </w:rPr>
        <w:t>cheltuielile cu investițiile</w:t>
      </w:r>
      <w:r>
        <w:rPr>
          <w:rFonts w:ascii="Arial" w:hAnsi="Arial" w:cs="Arial"/>
        </w:rPr>
        <w:t>;</w:t>
      </w:r>
      <w:r w:rsidRPr="00F443D0">
        <w:rPr>
          <w:rFonts w:ascii="Arial" w:hAnsi="Arial" w:cs="Arial"/>
        </w:rPr>
        <w:t xml:space="preserve"> </w:t>
      </w:r>
    </w:p>
    <w:p w:rsidR="00703BFA" w:rsidRPr="00F443D0" w:rsidRDefault="00703BFA" w:rsidP="00703BFA">
      <w:pPr>
        <w:pStyle w:val="ListParagraph"/>
        <w:numPr>
          <w:ilvl w:val="0"/>
          <w:numId w:val="11"/>
        </w:numPr>
        <w:spacing w:after="0" w:line="360" w:lineRule="auto"/>
        <w:ind w:left="426" w:hanging="426"/>
        <w:jc w:val="both"/>
        <w:rPr>
          <w:rFonts w:ascii="Arial" w:hAnsi="Arial" w:cs="Arial"/>
        </w:rPr>
      </w:pPr>
      <w:r w:rsidRPr="00F443D0">
        <w:rPr>
          <w:rFonts w:ascii="Arial" w:hAnsi="Arial" w:cs="Arial"/>
        </w:rPr>
        <w:t>cheltuieli neeligibile în conformitate cu ar</w:t>
      </w:r>
      <w:r>
        <w:rPr>
          <w:rFonts w:ascii="Arial" w:hAnsi="Arial" w:cs="Arial"/>
        </w:rPr>
        <w:t>t. 69, alin (3) din Reg.</w:t>
      </w:r>
      <w:r w:rsidRPr="00F443D0">
        <w:rPr>
          <w:rFonts w:ascii="Arial" w:hAnsi="Arial" w:cs="Arial"/>
        </w:rPr>
        <w:t xml:space="preserve"> (UE) nr. 1303/2013 și anume: dobânzi debitoare, cu excepţia celor referitoare la granturi acordate sub forma unei subvenţii pentru dobândă sau a unei subvenţii pentru comisioanele de garantare; </w:t>
      </w:r>
      <w:bookmarkStart w:id="2" w:name="_Hlk36322361"/>
      <w:r w:rsidRPr="00F443D0">
        <w:rPr>
          <w:rFonts w:ascii="Arial" w:hAnsi="Arial" w:cs="Arial"/>
        </w:rPr>
        <w:lastRenderedPageBreak/>
        <w:t>taxa pe valoarea adăugată, cu excepţia cazului în care aceasta nu se poate recupera în temeiul legislaţiei naţionale privind TVA-ul și a prevederilor specifice pentru instrumente financiare</w:t>
      </w:r>
      <w:bookmarkEnd w:id="2"/>
      <w:r w:rsidRPr="00F443D0">
        <w:rPr>
          <w:rFonts w:ascii="Arial" w:hAnsi="Arial" w:cs="Arial"/>
        </w:rPr>
        <w:t>; chelt</w:t>
      </w:r>
      <w:r>
        <w:rPr>
          <w:rFonts w:ascii="Arial" w:hAnsi="Arial" w:cs="Arial"/>
        </w:rPr>
        <w:t>uielile generale și</w:t>
      </w:r>
      <w:r w:rsidRPr="00F443D0">
        <w:rPr>
          <w:rFonts w:ascii="Arial" w:hAnsi="Arial" w:cs="Arial"/>
        </w:rPr>
        <w:t xml:space="preserve"> de asigurare; </w:t>
      </w:r>
    </w:p>
    <w:p w:rsidR="00703BFA" w:rsidRPr="00F443D0" w:rsidRDefault="00703BFA" w:rsidP="00703BFA">
      <w:pPr>
        <w:numPr>
          <w:ilvl w:val="0"/>
          <w:numId w:val="11"/>
        </w:numPr>
        <w:spacing w:after="0" w:line="360" w:lineRule="auto"/>
        <w:ind w:left="426" w:hanging="426"/>
        <w:jc w:val="both"/>
        <w:rPr>
          <w:rFonts w:ascii="Arial" w:hAnsi="Arial" w:cs="Arial"/>
        </w:rPr>
      </w:pPr>
      <w:r w:rsidRPr="00F443D0">
        <w:rPr>
          <w:rFonts w:ascii="Arial" w:hAnsi="Arial" w:cs="Arial"/>
        </w:rPr>
        <w:t xml:space="preserve">acțiunile sprijinite prin </w:t>
      </w:r>
      <w:r w:rsidRPr="00F443D0">
        <w:rPr>
          <w:rFonts w:ascii="Arial" w:hAnsi="Arial" w:cs="Arial"/>
          <w:bCs/>
        </w:rPr>
        <w:t xml:space="preserve">programele finanțate din </w:t>
      </w:r>
      <w:r w:rsidRPr="00F443D0">
        <w:rPr>
          <w:rFonts w:ascii="Arial" w:hAnsi="Arial" w:cs="Arial"/>
        </w:rPr>
        <w:t>fonduri de la bugetul de stat, de la bugetele locale sau din FESI 2014-2020 (POCU 2014-2020 etc);</w:t>
      </w:r>
    </w:p>
    <w:p w:rsidR="00703BFA" w:rsidRPr="00F443D0" w:rsidRDefault="00703BFA" w:rsidP="00703BFA">
      <w:pPr>
        <w:numPr>
          <w:ilvl w:val="0"/>
          <w:numId w:val="11"/>
        </w:numPr>
        <w:autoSpaceDE w:val="0"/>
        <w:autoSpaceDN w:val="0"/>
        <w:adjustRightInd w:val="0"/>
        <w:spacing w:after="0" w:line="360" w:lineRule="auto"/>
        <w:ind w:left="426" w:hanging="426"/>
        <w:jc w:val="both"/>
        <w:rPr>
          <w:rFonts w:ascii="Arial" w:hAnsi="Arial" w:cs="Arial"/>
          <w:bCs/>
        </w:rPr>
      </w:pPr>
      <w:r w:rsidRPr="00F443D0">
        <w:rPr>
          <w:rFonts w:ascii="Arial" w:hAnsi="Arial" w:cs="Arial"/>
        </w:rPr>
        <w:t>acțiunile similare cu cele care trebuie desfășurate de Biroul Județean pentru Romi Argeș și cu cele desfășurate la nivelul comunelor din teritoriul GAL FS-TP;</w:t>
      </w:r>
    </w:p>
    <w:p w:rsidR="00703BFA" w:rsidRPr="00F443D0" w:rsidRDefault="00703BFA" w:rsidP="00703BFA">
      <w:pPr>
        <w:numPr>
          <w:ilvl w:val="0"/>
          <w:numId w:val="11"/>
        </w:numPr>
        <w:autoSpaceDE w:val="0"/>
        <w:autoSpaceDN w:val="0"/>
        <w:adjustRightInd w:val="0"/>
        <w:spacing w:after="0" w:line="360" w:lineRule="auto"/>
        <w:ind w:left="426" w:hanging="426"/>
        <w:jc w:val="both"/>
        <w:rPr>
          <w:rFonts w:ascii="Arial" w:hAnsi="Arial" w:cs="Arial"/>
          <w:bCs/>
        </w:rPr>
      </w:pPr>
      <w:r w:rsidRPr="00F443D0">
        <w:rPr>
          <w:rFonts w:ascii="Arial" w:hAnsi="Arial" w:cs="Arial"/>
        </w:rPr>
        <w:t>cheltuielile care nu servesc exclusiv obiectivelor proiectului.</w:t>
      </w:r>
    </w:p>
    <w:p w:rsidR="00250CF0" w:rsidRDefault="00250CF0" w:rsidP="00213D1D">
      <w:pPr>
        <w:spacing w:before="120" w:after="120" w:line="240" w:lineRule="auto"/>
        <w:contextualSpacing/>
        <w:jc w:val="both"/>
        <w:rPr>
          <w:sz w:val="24"/>
        </w:rPr>
      </w:pPr>
    </w:p>
    <w:p w:rsidR="00F117E0" w:rsidRDefault="00F117E0">
      <w:pPr>
        <w:spacing w:after="0"/>
        <w:rPr>
          <w:rFonts w:asciiTheme="minorHAnsi" w:hAnsiTheme="minorHAnsi" w:cstheme="minorHAnsi"/>
          <w:sz w:val="24"/>
          <w:szCs w:val="24"/>
        </w:rPr>
      </w:pPr>
    </w:p>
    <w:sectPr w:rsidR="00F117E0" w:rsidSect="002A0001">
      <w:headerReference w:type="default" r:id="rId10"/>
      <w:footerReference w:type="default" r:id="rId11"/>
      <w:pgSz w:w="11906" w:h="16838"/>
      <w:pgMar w:top="1440" w:right="1440" w:bottom="1135"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5333B" w16cid:durableId="24E06980"/>
  <w16cid:commentId w16cid:paraId="519B0ED6" w16cid:durableId="24E06981"/>
  <w16cid:commentId w16cid:paraId="44950E9E" w16cid:durableId="24E06982"/>
  <w16cid:commentId w16cid:paraId="255EAC4D" w16cid:durableId="24E06983"/>
  <w16cid:commentId w16cid:paraId="3C04C4D7" w16cid:durableId="24E06984"/>
  <w16cid:commentId w16cid:paraId="1E002ECB" w16cid:durableId="24E06985"/>
  <w16cid:commentId w16cid:paraId="080FEE8D" w16cid:durableId="24E06986"/>
  <w16cid:commentId w16cid:paraId="663F51AA" w16cid:durableId="24E06987"/>
  <w16cid:commentId w16cid:paraId="262CDAAC" w16cid:durableId="24E06988"/>
  <w16cid:commentId w16cid:paraId="7007ABF3" w16cid:durableId="24E0698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7D" w:rsidRDefault="00676A7D" w:rsidP="002A0001">
      <w:pPr>
        <w:spacing w:after="0" w:line="240" w:lineRule="auto"/>
      </w:pPr>
      <w:r>
        <w:separator/>
      </w:r>
    </w:p>
  </w:endnote>
  <w:endnote w:type="continuationSeparator" w:id="0">
    <w:p w:rsidR="00676A7D" w:rsidRDefault="00676A7D" w:rsidP="002A0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918053"/>
      <w:docPartObj>
        <w:docPartGallery w:val="Page Numbers (Bottom of Page)"/>
        <w:docPartUnique/>
      </w:docPartObj>
    </w:sdtPr>
    <w:sdtEndPr>
      <w:rPr>
        <w:noProof/>
      </w:rPr>
    </w:sdtEndPr>
    <w:sdtContent>
      <w:p w:rsidR="002A0001" w:rsidRDefault="00742262" w:rsidP="002A0001">
        <w:pPr>
          <w:pStyle w:val="Footer"/>
          <w:jc w:val="right"/>
        </w:pPr>
        <w:r>
          <w:fldChar w:fldCharType="begin"/>
        </w:r>
        <w:r w:rsidR="002A0001">
          <w:instrText xml:space="preserve"> PAGE   \* MERGEFORMAT </w:instrText>
        </w:r>
        <w:r>
          <w:fldChar w:fldCharType="separate"/>
        </w:r>
        <w:r w:rsidR="00CD5CC5">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7D" w:rsidRDefault="00676A7D" w:rsidP="002A0001">
      <w:pPr>
        <w:spacing w:after="0" w:line="240" w:lineRule="auto"/>
      </w:pPr>
      <w:r>
        <w:separator/>
      </w:r>
    </w:p>
  </w:footnote>
  <w:footnote w:type="continuationSeparator" w:id="0">
    <w:p w:rsidR="00676A7D" w:rsidRDefault="00676A7D" w:rsidP="002A0001">
      <w:pPr>
        <w:spacing w:after="0" w:line="240" w:lineRule="auto"/>
      </w:pPr>
      <w:r>
        <w:continuationSeparator/>
      </w:r>
    </w:p>
  </w:footnote>
  <w:footnote w:id="1">
    <w:p w:rsidR="00D24094" w:rsidRPr="001215F3" w:rsidRDefault="00D24094" w:rsidP="00D24094">
      <w:pPr>
        <w:pStyle w:val="FootnoteText"/>
        <w:rPr>
          <w:lang w:val="en-US"/>
        </w:rPr>
      </w:pPr>
      <w:r>
        <w:rPr>
          <w:rStyle w:val="FootnoteReference"/>
        </w:rPr>
        <w:footnoteRef/>
      </w:r>
      <w:r>
        <w:t xml:space="preserve"> Diurna se acordă în conformitate cu prevederile legislației în vigoare (Codul muncii, Codul fiscal, HG nr. 714/2018)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01" w:rsidRDefault="002A0001" w:rsidP="002A0001">
    <w:pPr>
      <w:pStyle w:val="Header"/>
    </w:pPr>
    <w:bookmarkStart w:id="3" w:name="_Hlk527712617"/>
    <w:r>
      <w:rPr>
        <w:noProof/>
        <w:lang w:val="en-US"/>
      </w:rPr>
      <w:drawing>
        <wp:anchor distT="0" distB="0" distL="114300" distR="114300" simplePos="0" relativeHeight="251663360" behindDoc="0" locked="0" layoutInCell="1" allowOverlap="1">
          <wp:simplePos x="0" y="0"/>
          <wp:positionH relativeFrom="column">
            <wp:posOffset>4773295</wp:posOffset>
          </wp:positionH>
          <wp:positionV relativeFrom="paragraph">
            <wp:posOffset>-37465</wp:posOffset>
          </wp:positionV>
          <wp:extent cx="1208405" cy="586740"/>
          <wp:effectExtent l="0" t="0" r="0" b="3810"/>
          <wp:wrapThrough wrapText="bothSides">
            <wp:wrapPolygon edited="0">
              <wp:start x="0" y="0"/>
              <wp:lineTo x="0" y="21039"/>
              <wp:lineTo x="21112" y="21039"/>
              <wp:lineTo x="21112" y="0"/>
              <wp:lineTo x="0" y="0"/>
            </wp:wrapPolygon>
          </wp:wrapThrough>
          <wp:docPr id="16" name="Picture 16" descr="C:\Users\Sorin\AppData\Local\Microsoft\Windows\INetCache\Content.Word\SIGLA GAL RE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2" descr="C:\Users\Sorin\AppData\Local\Microsoft\Windows\INetCache\Content.Word\SIGLA GAL REV3.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586740"/>
                  </a:xfrm>
                  <a:prstGeom prst="rect">
                    <a:avLst/>
                  </a:prstGeom>
                  <a:noFill/>
                  <a:ln>
                    <a:noFill/>
                  </a:ln>
                </pic:spPr>
              </pic:pic>
            </a:graphicData>
          </a:graphic>
        </wp:anchor>
      </w:drawing>
    </w:r>
    <w:r>
      <w:rPr>
        <w:noProof/>
        <w:lang w:val="en-US"/>
      </w:rPr>
      <w:drawing>
        <wp:anchor distT="0" distB="0" distL="114300" distR="114300" simplePos="0" relativeHeight="251662336" behindDoc="0" locked="0" layoutInCell="1" allowOverlap="1">
          <wp:simplePos x="0" y="0"/>
          <wp:positionH relativeFrom="column">
            <wp:posOffset>3676650</wp:posOffset>
          </wp:positionH>
          <wp:positionV relativeFrom="paragraph">
            <wp:posOffset>-37465</wp:posOffset>
          </wp:positionV>
          <wp:extent cx="817880" cy="548640"/>
          <wp:effectExtent l="0" t="0" r="1270" b="381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7880" cy="548640"/>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2943225</wp:posOffset>
          </wp:positionH>
          <wp:positionV relativeFrom="paragraph">
            <wp:posOffset>66675</wp:posOffset>
          </wp:positionV>
          <wp:extent cx="567055" cy="444500"/>
          <wp:effectExtent l="0" t="0" r="444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4"/>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055" cy="444500"/>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965835</wp:posOffset>
          </wp:positionH>
          <wp:positionV relativeFrom="paragraph">
            <wp:posOffset>-26670</wp:posOffset>
          </wp:positionV>
          <wp:extent cx="1777365" cy="58674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365" cy="586740"/>
                  </a:xfrm>
                  <a:prstGeom prst="rect">
                    <a:avLst/>
                  </a:prstGeom>
                  <a:noFill/>
                  <a:ln>
                    <a:noFill/>
                  </a:ln>
                </pic:spPr>
              </pic:pic>
            </a:graphicData>
          </a:graphic>
        </wp:anchor>
      </w:drawing>
    </w:r>
    <w:r>
      <w:rPr>
        <w:noProof/>
        <w:lang w:val="en-US"/>
      </w:rPr>
      <w:drawing>
        <wp:anchor distT="0" distB="0" distL="114300" distR="114300" simplePos="0" relativeHeight="251661312" behindDoc="0" locked="0" layoutInCell="1" allowOverlap="1">
          <wp:simplePos x="0" y="0"/>
          <wp:positionH relativeFrom="column">
            <wp:posOffset>38100</wp:posOffset>
          </wp:positionH>
          <wp:positionV relativeFrom="paragraph">
            <wp:posOffset>-26670</wp:posOffset>
          </wp:positionV>
          <wp:extent cx="685800" cy="586740"/>
          <wp:effectExtent l="0" t="0" r="0" b="3810"/>
          <wp:wrapThrough wrapText="bothSides">
            <wp:wrapPolygon edited="0">
              <wp:start x="0" y="0"/>
              <wp:lineTo x="0" y="21039"/>
              <wp:lineTo x="21000" y="21039"/>
              <wp:lineTo x="21000"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586740"/>
                  </a:xfrm>
                  <a:prstGeom prst="rect">
                    <a:avLst/>
                  </a:prstGeom>
                  <a:noFill/>
                  <a:ln>
                    <a:noFill/>
                  </a:ln>
                </pic:spPr>
              </pic:pic>
            </a:graphicData>
          </a:graphic>
        </wp:anchor>
      </w:drawing>
    </w: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DA24F0"/>
    <w:multiLevelType w:val="hybridMultilevel"/>
    <w:tmpl w:val="7FC8B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3371E"/>
    <w:multiLevelType w:val="hybridMultilevel"/>
    <w:tmpl w:val="808C1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86688"/>
    <w:multiLevelType w:val="hybridMultilevel"/>
    <w:tmpl w:val="A0BCD83E"/>
    <w:lvl w:ilvl="0" w:tplc="614AC296">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DDF7577"/>
    <w:multiLevelType w:val="hybridMultilevel"/>
    <w:tmpl w:val="E8BABD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D2C5A9E"/>
    <w:multiLevelType w:val="hybridMultilevel"/>
    <w:tmpl w:val="55E6AC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9"/>
  </w:num>
  <w:num w:numId="5">
    <w:abstractNumId w:val="3"/>
  </w:num>
  <w:num w:numId="6">
    <w:abstractNumId w:val="4"/>
  </w:num>
  <w:num w:numId="7">
    <w:abstractNumId w:val="6"/>
  </w:num>
  <w:num w:numId="8">
    <w:abstractNumId w:val="1"/>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1"/>
    <w:footnote w:id="0"/>
  </w:footnotePr>
  <w:endnotePr>
    <w:endnote w:id="-1"/>
    <w:endnote w:id="0"/>
  </w:endnotePr>
  <w:compat/>
  <w:rsids>
    <w:rsidRoot w:val="009476EF"/>
    <w:rsid w:val="00091C1B"/>
    <w:rsid w:val="000B44FB"/>
    <w:rsid w:val="001277D9"/>
    <w:rsid w:val="00164277"/>
    <w:rsid w:val="001E5796"/>
    <w:rsid w:val="00213D1D"/>
    <w:rsid w:val="00250CF0"/>
    <w:rsid w:val="00253FFC"/>
    <w:rsid w:val="002A0001"/>
    <w:rsid w:val="002B2229"/>
    <w:rsid w:val="002B78DF"/>
    <w:rsid w:val="003972D6"/>
    <w:rsid w:val="003A4047"/>
    <w:rsid w:val="003C540C"/>
    <w:rsid w:val="00425EE2"/>
    <w:rsid w:val="005034B5"/>
    <w:rsid w:val="005403AB"/>
    <w:rsid w:val="00592853"/>
    <w:rsid w:val="00676A7D"/>
    <w:rsid w:val="006A47B2"/>
    <w:rsid w:val="006B29FD"/>
    <w:rsid w:val="00703BFA"/>
    <w:rsid w:val="007313F9"/>
    <w:rsid w:val="00742262"/>
    <w:rsid w:val="007871E9"/>
    <w:rsid w:val="007A4525"/>
    <w:rsid w:val="007B7D05"/>
    <w:rsid w:val="007C4D98"/>
    <w:rsid w:val="007E168D"/>
    <w:rsid w:val="007F43B4"/>
    <w:rsid w:val="00815198"/>
    <w:rsid w:val="00841909"/>
    <w:rsid w:val="00882867"/>
    <w:rsid w:val="00924B57"/>
    <w:rsid w:val="009476EF"/>
    <w:rsid w:val="00950512"/>
    <w:rsid w:val="00960DF7"/>
    <w:rsid w:val="00973054"/>
    <w:rsid w:val="0097541F"/>
    <w:rsid w:val="00984C50"/>
    <w:rsid w:val="00A20BCE"/>
    <w:rsid w:val="00A54AC6"/>
    <w:rsid w:val="00A7394E"/>
    <w:rsid w:val="00A757EA"/>
    <w:rsid w:val="00AE5E8E"/>
    <w:rsid w:val="00B042E6"/>
    <w:rsid w:val="00B0430F"/>
    <w:rsid w:val="00B31A4F"/>
    <w:rsid w:val="00B71B0E"/>
    <w:rsid w:val="00B7616E"/>
    <w:rsid w:val="00B83EE9"/>
    <w:rsid w:val="00BC3E50"/>
    <w:rsid w:val="00C062E6"/>
    <w:rsid w:val="00C3722B"/>
    <w:rsid w:val="00C5301D"/>
    <w:rsid w:val="00C6290C"/>
    <w:rsid w:val="00C81E1D"/>
    <w:rsid w:val="00CD5CC5"/>
    <w:rsid w:val="00CE5EF1"/>
    <w:rsid w:val="00CE606B"/>
    <w:rsid w:val="00D034D7"/>
    <w:rsid w:val="00D050C8"/>
    <w:rsid w:val="00D24094"/>
    <w:rsid w:val="00D54933"/>
    <w:rsid w:val="00D74065"/>
    <w:rsid w:val="00E55255"/>
    <w:rsid w:val="00E73464"/>
    <w:rsid w:val="00EB63B6"/>
    <w:rsid w:val="00ED5B14"/>
    <w:rsid w:val="00F117E0"/>
    <w:rsid w:val="00F56276"/>
    <w:rsid w:val="00F56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01"/>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A0001"/>
    <w:pPr>
      <w:ind w:left="720"/>
      <w:contextualSpacing/>
    </w:pPr>
  </w:style>
  <w:style w:type="character" w:styleId="Hyperlink">
    <w:name w:val="Hyperlink"/>
    <w:uiPriority w:val="99"/>
    <w:unhideWhenUsed/>
    <w:rsid w:val="002A0001"/>
    <w:rPr>
      <w:color w:val="0000FF"/>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0001"/>
    <w:rPr>
      <w:rFonts w:ascii="Calibri" w:eastAsia="Calibri" w:hAnsi="Calibri" w:cs="Times New Roman"/>
      <w:lang w:val="ro-RO"/>
    </w:rPr>
  </w:style>
  <w:style w:type="paragraph" w:styleId="Header">
    <w:name w:val="header"/>
    <w:basedOn w:val="Normal"/>
    <w:link w:val="HeaderChar"/>
    <w:unhideWhenUsed/>
    <w:rsid w:val="002A0001"/>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2A0001"/>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2A0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001"/>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7541F"/>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7541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24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94"/>
    <w:rPr>
      <w:rFonts w:ascii="Segoe UI" w:eastAsia="Calibri" w:hAnsi="Segoe UI" w:cs="Segoe UI"/>
      <w:sz w:val="18"/>
      <w:szCs w:val="18"/>
      <w:lang w:val="ro-RO"/>
    </w:rPr>
  </w:style>
  <w:style w:type="character" w:styleId="FootnoteReference">
    <w:name w:val="footnote reference"/>
    <w:aliases w:val="Footnote,Footnote symbol,Fussnota,ftref"/>
    <w:unhideWhenUsed/>
    <w:rsid w:val="00D24094"/>
    <w:rPr>
      <w:vertAlign w:val="superscript"/>
    </w:rPr>
  </w:style>
  <w:style w:type="character" w:styleId="CommentReference">
    <w:name w:val="annotation reference"/>
    <w:basedOn w:val="DefaultParagraphFont"/>
    <w:unhideWhenUsed/>
    <w:rsid w:val="00B0430F"/>
    <w:rPr>
      <w:sz w:val="16"/>
      <w:szCs w:val="16"/>
    </w:rPr>
  </w:style>
  <w:style w:type="paragraph" w:styleId="CommentText">
    <w:name w:val="annotation text"/>
    <w:basedOn w:val="Normal"/>
    <w:link w:val="CommentTextChar"/>
    <w:uiPriority w:val="99"/>
    <w:unhideWhenUsed/>
    <w:rsid w:val="00B0430F"/>
    <w:pPr>
      <w:spacing w:line="240" w:lineRule="auto"/>
    </w:pPr>
    <w:rPr>
      <w:sz w:val="20"/>
      <w:szCs w:val="20"/>
    </w:rPr>
  </w:style>
  <w:style w:type="character" w:customStyle="1" w:styleId="CommentTextChar">
    <w:name w:val="Comment Text Char"/>
    <w:basedOn w:val="DefaultParagraphFont"/>
    <w:link w:val="CommentText"/>
    <w:uiPriority w:val="99"/>
    <w:rsid w:val="00B0430F"/>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B0430F"/>
    <w:rPr>
      <w:b/>
      <w:bCs/>
    </w:rPr>
  </w:style>
  <w:style w:type="character" w:customStyle="1" w:styleId="CommentSubjectChar">
    <w:name w:val="Comment Subject Char"/>
    <w:basedOn w:val="CommentTextChar"/>
    <w:link w:val="CommentSubject"/>
    <w:uiPriority w:val="99"/>
    <w:semiHidden/>
    <w:rsid w:val="00B0430F"/>
    <w:rPr>
      <w:rFonts w:ascii="Calibri" w:eastAsia="Calibri" w:hAnsi="Calibri" w:cs="Times New Roman"/>
      <w:b/>
      <w:bCs/>
      <w:sz w:val="20"/>
      <w:szCs w:val="20"/>
      <w:lang w:val="ro-RO"/>
    </w:rPr>
  </w:style>
  <w:style w:type="paragraph" w:customStyle="1" w:styleId="Default">
    <w:name w:val="Default"/>
    <w:rsid w:val="00C6290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ir.madr.ro"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dc:creator>
  <cp:keywords/>
  <dc:description/>
  <cp:lastModifiedBy>Asus</cp:lastModifiedBy>
  <cp:revision>40</cp:revision>
  <dcterms:created xsi:type="dcterms:W3CDTF">2018-10-19T08:40:00Z</dcterms:created>
  <dcterms:modified xsi:type="dcterms:W3CDTF">2022-01-28T09:22:00Z</dcterms:modified>
</cp:coreProperties>
</file>